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B05" w:rsidRPr="00C70B05" w:rsidRDefault="008D1D06" w:rsidP="00C70B05">
      <w:pPr>
        <w:rPr>
          <w:b/>
          <w:sz w:val="26"/>
          <w:szCs w:val="26"/>
          <w:u w:val="single"/>
        </w:rPr>
      </w:pPr>
      <w:r>
        <w:rPr>
          <w:b/>
          <w:sz w:val="26"/>
          <w:szCs w:val="26"/>
          <w:u w:val="single"/>
        </w:rPr>
        <w:t>Additional</w:t>
      </w:r>
      <w:bookmarkStart w:id="0" w:name="_GoBack"/>
      <w:bookmarkEnd w:id="0"/>
      <w:r w:rsidR="00C70B05">
        <w:rPr>
          <w:b/>
          <w:sz w:val="26"/>
          <w:szCs w:val="26"/>
          <w:u w:val="single"/>
        </w:rPr>
        <w:t xml:space="preserve"> file 2</w:t>
      </w:r>
      <w:r w:rsidR="00C70B05" w:rsidRPr="00146231">
        <w:rPr>
          <w:b/>
          <w:sz w:val="26"/>
          <w:szCs w:val="26"/>
          <w:u w:val="single"/>
        </w:rPr>
        <w:t xml:space="preserve"> </w:t>
      </w:r>
      <w:r w:rsidR="00C70B05">
        <w:rPr>
          <w:b/>
          <w:sz w:val="26"/>
          <w:szCs w:val="26"/>
          <w:u w:val="single"/>
        </w:rPr>
        <w:t xml:space="preserve">– Calculation of </w:t>
      </w:r>
      <w:proofErr w:type="spellStart"/>
      <w:r w:rsidR="00C70B05">
        <w:rPr>
          <w:b/>
          <w:sz w:val="26"/>
          <w:szCs w:val="26"/>
          <w:u w:val="single"/>
        </w:rPr>
        <w:t>N</w:t>
      </w:r>
      <w:r w:rsidR="00C70B05">
        <w:rPr>
          <w:b/>
          <w:sz w:val="26"/>
          <w:szCs w:val="26"/>
          <w:u w:val="single"/>
          <w:vertAlign w:val="subscript"/>
        </w:rPr>
        <w:t>min</w:t>
      </w:r>
      <w:proofErr w:type="spellEnd"/>
      <w:r w:rsidR="00C70B05">
        <w:rPr>
          <w:b/>
          <w:sz w:val="26"/>
          <w:szCs w:val="26"/>
          <w:u w:val="single"/>
        </w:rPr>
        <w:t>, minimum required sample size following published criteria</w:t>
      </w:r>
    </w:p>
    <w:p w:rsidR="00621029" w:rsidRDefault="00621029" w:rsidP="00621029">
      <w:pPr>
        <w:tabs>
          <w:tab w:val="left" w:pos="1846"/>
        </w:tabs>
        <w:rPr>
          <w:b/>
        </w:rPr>
      </w:pPr>
      <w:r>
        <w:rPr>
          <w:b/>
        </w:rPr>
        <w:t>Methods</w:t>
      </w:r>
    </w:p>
    <w:p w:rsidR="00621029" w:rsidRPr="009779F7" w:rsidRDefault="00621029" w:rsidP="00621029">
      <w:pPr>
        <w:tabs>
          <w:tab w:val="left" w:pos="1846"/>
        </w:tabs>
        <w:rPr>
          <w:b/>
        </w:rPr>
      </w:pPr>
      <w:r w:rsidRPr="009779F7">
        <w:rPr>
          <w:b/>
        </w:rPr>
        <w:t xml:space="preserve">Calculation of </w:t>
      </w:r>
      <w:proofErr w:type="spellStart"/>
      <w:r w:rsidRPr="009779F7">
        <w:rPr>
          <w:b/>
        </w:rPr>
        <w:t>N</w:t>
      </w:r>
      <w:r w:rsidRPr="009779F7">
        <w:rPr>
          <w:b/>
          <w:vertAlign w:val="subscript"/>
        </w:rPr>
        <w:t>min</w:t>
      </w:r>
      <w:proofErr w:type="spellEnd"/>
    </w:p>
    <w:p w:rsidR="00621029" w:rsidRDefault="00621029" w:rsidP="00621029">
      <w:r>
        <w:t>We followed Riley et al.’s</w:t>
      </w:r>
      <w:r>
        <w:fldChar w:fldCharType="begin" w:fldLock="1"/>
      </w:r>
      <w:r w:rsidR="006063FE">
        <w:instrText>ADDIN CSL_CITATION { "citationItems" : [ { "id" : "ITEM-1", "itemData" : { "DOI" : "10.1002/sim.7992", "ISSN" : "10970258", "abstract" : "When designing a study to develop a new prediction model with binary or time-to-event outcomes, researchers should ensure their sample size is adequate in terms of the number of participants (n) and outcome events (E) relative to the number of predictor parameters (p) considered for inclusion. We propose that the minimum values of n and E (and subsequently the minimum number of events per predictor parameter, EPP) should be calculated to meet the following three criteria: (i) small optimism in predictor effect estimates as defined by a global shrinkage factor of \u22650.9, (ii) small absolute difference of \u2264 0.05 in the model's apparent and adjusted Nagelkerke's R2 , and (iii) precise estimation of the overall risk in the population. Criteria (i) and (ii) aim to reduce overfitting conditional on a chosen p, and require prespecification of the model's anticipated Cox-Snell R2 , which we show can be obtained from previous studies. The values of n and E that meet all three criteria provides the minimum sample size required for model development. Upon application of our approach, a new diagnostic model for Chagas disease requires an EPP of at least 4.8 and a new prognostic model for recurrent venous thromboembolism requires an EPP of at least 23. This reinforces why rules of thumb (eg, 10 EPP) should be avoided. Researchers might additionally ensure the sample size gives precise estimates of key predictor effects; this is especially important when key categorical predictors have few events in some categories, as this may substantially increase the numbers required.", "author" : [ { "dropping-particle" : "", "family" : "Riley", "given" : "Richard D.", "non-dropping-particle" : "", "parse-names" : false, "suffix" : "" }, { "dropping-particle" : "", "family" : "Snell", "given" : "Kym I.E.", "non-dropping-particle" : "", "parse-names" : false, "suffix" : "" }, { "dropping-particle" : "", "family" : "Ensor", "given" : "Joie", "non-dropping-particle" : "", "parse-names" : false, "suffix" : "" }, { "dropping-particle" : "", "family" : "Burke", "given" : "Danielle L.", "non-dropping-particle" : "", "parse-names" : false, "suffix" : "" }, { "dropping-particle" : "", "family" : "Harrell", "given" : "Frank E.", "non-dropping-particle" : "", "parse-names" : false, "suffix" : "" }, { "dropping-particle" : "", "family" : "Moons", "given" : "Karel G.M.", "non-dropping-particle" : "", "parse-names" : false, "suffix" : "" }, { "dropping-particle" : "", "family" : "Collins", "given" : "Gary S.", "non-dropping-particle" : "", "parse-names" : false, "suffix" : "" } ], "container-title" : "Statistics in Medicine", "id" : "ITEM-1", "issue" : "7", "issued" : { "date-parts" : [ [ "2019" ] ] }, "page" : "1276-1296", "title" : "Minimum sample size for developing a multivariable prediction model: PART II - binary and time-to-event outcomes", "type" : "article-journal", "volume" : "38" }, "uris" : [ "http://www.mendeley.com/documents/?uuid=f02c7145-0f5b-4422-a2fb-cf69a14fc132", "http://www.mendeley.com/documents/?uuid=7653e100-36bb-41a0-8644-a4d1a8f64943" ] } ], "mendeley" : { "formattedCitation" : "&lt;sup&gt;1&lt;/sup&gt;", "plainTextFormattedCitation" : "1", "previouslyFormattedCitation" : "(1)" }, "properties" : { "noteIndex" : 2 }, "schema" : "https://github.com/citation-style-language/schema/raw/master/csl-citation.json" }</w:instrText>
      </w:r>
      <w:r>
        <w:fldChar w:fldCharType="separate"/>
      </w:r>
      <w:r w:rsidR="006063FE" w:rsidRPr="006063FE">
        <w:rPr>
          <w:noProof/>
          <w:vertAlign w:val="superscript"/>
        </w:rPr>
        <w:t>1</w:t>
      </w:r>
      <w:r>
        <w:fldChar w:fldCharType="end"/>
      </w:r>
      <w:r>
        <w:t xml:space="preserve"> criteria for calculating the minimum required sample size for a risk prediction model. These are (</w:t>
      </w:r>
      <w:proofErr w:type="spellStart"/>
      <w:r>
        <w:t>i</w:t>
      </w:r>
      <w:proofErr w:type="spellEnd"/>
      <w:r>
        <w:t>) ensure a global shrinkage factor S</w:t>
      </w:r>
      <w:r>
        <w:rPr>
          <w:vertAlign w:val="subscript"/>
        </w:rPr>
        <w:t>VH</w:t>
      </w:r>
      <w:r>
        <w:t xml:space="preserve"> &gt; 0.9; (ii) ensuring a small absolute difference in the apparent and adjusted </w:t>
      </w:r>
      <w:r w:rsidRPr="00F011FC">
        <w:t>R</w:t>
      </w:r>
      <w:r>
        <w:rPr>
          <w:vertAlign w:val="superscript"/>
        </w:rPr>
        <w:t>2</w:t>
      </w:r>
      <w:r>
        <w:rPr>
          <w:vertAlign w:val="subscript"/>
        </w:rPr>
        <w:t>Nagelkerke</w:t>
      </w:r>
      <w:r>
        <w:t xml:space="preserve">; (iii) ensure precise estimate of overall risk (model intercept). The recommended estimate of the global shrinkage factor is the shrinkage factor of Van </w:t>
      </w:r>
      <w:proofErr w:type="spellStart"/>
      <w:r>
        <w:t>Houwelingen</w:t>
      </w:r>
      <w:proofErr w:type="spellEnd"/>
      <w:r>
        <w:t xml:space="preserve"> and Le Cessie</w:t>
      </w:r>
      <w:r>
        <w:fldChar w:fldCharType="begin" w:fldLock="1"/>
      </w:r>
      <w:r w:rsidR="006063FE">
        <w:instrText>ADDIN CSL_CITATION { "citationItems" : [ { "id" : "ITEM-1", "itemData" : { "author" : [ { "dropping-particle" : "", "family" : "Houwelingen", "given" : "JC", "non-dropping-particle" : "Van", "parse-names" : false, "suffix" : "" }, { "dropping-particle" : "", "family" : "Cessie", "given" : "S", "non-dropping-particle" : "Le", "parse-names" : false, "suffix" : "" } ], "container-title" : "Statistics in Medicine", "id" : "ITEM-1", "issue" : "11", "issued" : { "date-parts" : [ [ "1990" ] ] }, "page" : "1303-1325", "title" : "Predictive value of statistical models", "type" : "article-journal", "volume" : "9" }, "uris" : [ "http://www.mendeley.com/documents/?uuid=b64e6068-61e6-4a08-9230-1567a38269a4", "http://www.mendeley.com/documents/?uuid=c8f1ac65-f996-41b9-b033-88a466e813ca" ] } ], "mendeley" : { "formattedCitation" : "&lt;sup&gt;2&lt;/sup&gt;", "plainTextFormattedCitation" : "2", "previouslyFormattedCitation" : "(2)" }, "properties" : { "noteIndex" : 3 }, "schema" : "https://github.com/citation-style-language/schema/raw/master/csl-citation.json" }</w:instrText>
      </w:r>
      <w:r>
        <w:fldChar w:fldCharType="separate"/>
      </w:r>
      <w:r w:rsidR="006063FE" w:rsidRPr="006063FE">
        <w:rPr>
          <w:noProof/>
          <w:vertAlign w:val="superscript"/>
        </w:rPr>
        <w:t>2</w:t>
      </w:r>
      <w:r>
        <w:fldChar w:fldCharType="end"/>
      </w:r>
      <w:r>
        <w:t>, S</w:t>
      </w:r>
      <w:r>
        <w:rPr>
          <w:vertAlign w:val="subscript"/>
        </w:rPr>
        <w:t>VH</w:t>
      </w:r>
      <w:r>
        <w:t xml:space="preserve">. The entity </w:t>
      </w:r>
      <w:r w:rsidRPr="00F011FC">
        <w:t>R</w:t>
      </w:r>
      <w:r>
        <w:rPr>
          <w:vertAlign w:val="superscript"/>
        </w:rPr>
        <w:t>2</w:t>
      </w:r>
      <w:r>
        <w:rPr>
          <w:vertAlign w:val="subscript"/>
        </w:rPr>
        <w:t>Nagelkerke</w:t>
      </w:r>
      <w:r>
        <w:fldChar w:fldCharType="begin" w:fldLock="1"/>
      </w:r>
      <w:r w:rsidR="006063FE">
        <w:instrText>ADDIN CSL_CITATION { "citationItems" : [ { "id" : "ITEM-1", "itemData" : { "author" : [ { "dropping-particle" : "", "family" : "Nagelkerke", "given" : "N. J. D.", "non-dropping-particle" : "", "parse-names" : false, "suffix" : "" } ], "container-title" : "Biometrika", "id" : "ITEM-1", "issue" : "3", "issued" : { "date-parts" : [ [ "1991" ] ] }, "page" : "691-692", "title" : "A note on a general definition of the coefficient of determination", "type" : "article-journal", "volume" : "78" }, "uris" : [ "http://www.mendeley.com/documents/?uuid=93d262e0-47ef-4d4a-94ab-652978361b58", "http://www.mendeley.com/documents/?uuid=666ba2d0-4840-4a33-9158-a413e6fa5be6" ] } ], "mendeley" : { "formattedCitation" : "&lt;sup&gt;3&lt;/sup&gt;", "plainTextFormattedCitation" : "3", "previouslyFormattedCitation" : "(3)" }, "properties" : { "noteIndex" : 3 }, "schema" : "https://github.com/citation-style-language/schema/raw/master/csl-citation.json" }</w:instrText>
      </w:r>
      <w:r>
        <w:fldChar w:fldCharType="separate"/>
      </w:r>
      <w:r w:rsidR="006063FE" w:rsidRPr="006063FE">
        <w:rPr>
          <w:noProof/>
          <w:vertAlign w:val="superscript"/>
        </w:rPr>
        <w:t>3</w:t>
      </w:r>
      <w:r>
        <w:fldChar w:fldCharType="end"/>
      </w:r>
      <w:r>
        <w:t xml:space="preserve"> is an estimate of the proportion of variance explained, that always lies between 0 and 1. When estimating this quantity, the apparent estimate will be optimistic, and can be adjusted to get an unbiased estimate, which are the two values of interest here.</w:t>
      </w:r>
    </w:p>
    <w:p w:rsidR="00621029" w:rsidRDefault="00621029" w:rsidP="00621029">
      <w:r>
        <w:t>The main challenge in following these recommendations is the need to calculate R</w:t>
      </w:r>
      <w:r>
        <w:rPr>
          <w:vertAlign w:val="superscript"/>
        </w:rPr>
        <w:t>2</w:t>
      </w:r>
      <w:r>
        <w:rPr>
          <w:vertAlign w:val="subscript"/>
        </w:rPr>
        <w:t>CS_ADJ</w:t>
      </w:r>
      <w:r>
        <w:rPr>
          <w:vertAlign w:val="subscript"/>
        </w:rPr>
        <w:fldChar w:fldCharType="begin" w:fldLock="1"/>
      </w:r>
      <w:r w:rsidR="006063FE">
        <w:rPr>
          <w:vertAlign w:val="subscript"/>
        </w:rPr>
        <w:instrText>ADDIN CSL_CITATION { "citationItems" : [ { "id" : "ITEM-1", "itemData" : { "author" : [ { "dropping-particle" : "", "family" : "Mittlboeck", "given" : "M", "non-dropping-particle" : "", "parse-names" : false, "suffix" : "" }, { "dropping-particle" : "", "family" : "Heinzl", "given" : "H", "non-dropping-particle" : "", "parse-names" : false, "suffix" : "" } ], "container-title" : "Proceedings of the 1st European Workshop on the Assessment of Diagnostic Performance", "id" : "ITEM-1", "issued" : { "date-parts" : [ [ "2004" ] ] }, "publisher-place" : "Milan, Italy", "title" : "Pseudo R-squared measures of generalized linear models.", "type" : "paper-conference" }, "uris" : [ "http://www.mendeley.com/documents/?uuid=1e41b548-a71b-4553-85df-0e87fc326e7a", "http://www.mendeley.com/documents/?uuid=988c10a5-03d0-4a10-a643-7bb1eb48800a" ] } ], "mendeley" : { "formattedCitation" : "&lt;sup&gt;4&lt;/sup&gt;", "plainTextFormattedCitation" : "4", "previouslyFormattedCitation" : "(4)" }, "properties" : { "noteIndex" : 3 }, "schema" : "https://github.com/citation-style-language/schema/raw/master/csl-citation.json" }</w:instrText>
      </w:r>
      <w:r>
        <w:rPr>
          <w:vertAlign w:val="subscript"/>
        </w:rPr>
        <w:fldChar w:fldCharType="separate"/>
      </w:r>
      <w:r w:rsidR="006063FE" w:rsidRPr="006063FE">
        <w:rPr>
          <w:noProof/>
          <w:vertAlign w:val="superscript"/>
        </w:rPr>
        <w:t>4</w:t>
      </w:r>
      <w:r>
        <w:rPr>
          <w:vertAlign w:val="subscript"/>
        </w:rPr>
        <w:fldChar w:fldCharType="end"/>
      </w:r>
      <w:r>
        <w:t xml:space="preserve"> (an unbiased estimate of the Cox-Snell</w:t>
      </w:r>
      <w:r>
        <w:rPr>
          <w:vertAlign w:val="superscript"/>
        </w:rPr>
        <w:fldChar w:fldCharType="begin" w:fldLock="1"/>
      </w:r>
      <w:r w:rsidR="006063FE">
        <w:rPr>
          <w:vertAlign w:val="superscript"/>
        </w:rPr>
        <w:instrText>ADDIN CSL_CITATION { "citationItems" : [ { "id" : "ITEM-1", "itemData" : { "ISBN" : "978-0412306204", "author" : [ { "dropping-particle" : "", "family" : "Cox", "given" : "D. R.", "non-dropping-particle" : "", "parse-names" : false, "suffix" : "" }, { "dropping-particle" : "", "family" : "Snell", "given" : "E. J.", "non-dropping-particle" : "", "parse-names" : false, "suffix" : "" } ], "edition" : "2 edition ", "id" : "ITEM-1", "issued" : { "date-parts" : [ [ "1989" ] ] }, "publisher" : "Chapman and Hall/CRC", "title" : "Analysis of Binary Data", "type" : "book" }, "uris" : [ "http://www.mendeley.com/documents/?uuid=4d48281e-f998-475d-8478-9be6fb9d83b6", "http://www.mendeley.com/documents/?uuid=1465a87f-7d9f-4998-bbf4-fc7ba91aee08" ] } ], "mendeley" : { "formattedCitation" : "&lt;sup&gt;5&lt;/sup&gt;", "plainTextFormattedCitation" : "5", "previouslyFormattedCitation" : "(5)" }, "properties" : { "noteIndex" : 3 }, "schema" : "https://github.com/citation-style-language/schema/raw/master/csl-citation.json" }</w:instrText>
      </w:r>
      <w:r>
        <w:rPr>
          <w:vertAlign w:val="superscript"/>
        </w:rPr>
        <w:fldChar w:fldCharType="separate"/>
      </w:r>
      <w:r w:rsidR="006063FE" w:rsidRPr="006063FE">
        <w:rPr>
          <w:noProof/>
          <w:vertAlign w:val="superscript"/>
        </w:rPr>
        <w:t>5</w:t>
      </w:r>
      <w:r>
        <w:rPr>
          <w:vertAlign w:val="superscript"/>
        </w:rPr>
        <w:fldChar w:fldCharType="end"/>
      </w:r>
      <w:r>
        <w:t xml:space="preserve"> R</w:t>
      </w:r>
      <w:r>
        <w:rPr>
          <w:vertAlign w:val="superscript"/>
        </w:rPr>
        <w:t>2</w:t>
      </w:r>
      <w:r>
        <w:t>) to calculate the sample size, which can only be calculated after fitting the model. It is recommended to use metrics provided by previous prediction models developed on similar populations to estimate R</w:t>
      </w:r>
      <w:r>
        <w:rPr>
          <w:vertAlign w:val="superscript"/>
        </w:rPr>
        <w:t>2</w:t>
      </w:r>
      <w:r>
        <w:rPr>
          <w:vertAlign w:val="subscript"/>
        </w:rPr>
        <w:t>CS_ADJ</w:t>
      </w:r>
      <w:r>
        <w:t>. In this study, we can use the model developed on the whole development cohort to calculate R</w:t>
      </w:r>
      <w:r>
        <w:rPr>
          <w:vertAlign w:val="superscript"/>
        </w:rPr>
        <w:t>2</w:t>
      </w:r>
      <w:r>
        <w:rPr>
          <w:vertAlign w:val="subscript"/>
        </w:rPr>
        <w:t>CS_ADJ</w:t>
      </w:r>
      <w:r>
        <w:t xml:space="preserve"> directly. This value of R</w:t>
      </w:r>
      <w:r>
        <w:rPr>
          <w:vertAlign w:val="superscript"/>
        </w:rPr>
        <w:t>2</w:t>
      </w:r>
      <w:r>
        <w:rPr>
          <w:vertAlign w:val="subscript"/>
        </w:rPr>
        <w:t>CS_ADJ</w:t>
      </w:r>
      <w:r>
        <w:t xml:space="preserve"> allows us to calculate the minimum required sample size for a model developed in this population.</w:t>
      </w:r>
    </w:p>
    <w:p w:rsidR="00621029" w:rsidRDefault="00621029" w:rsidP="008B2D8A">
      <w:pPr>
        <w:tabs>
          <w:tab w:val="left" w:pos="1846"/>
        </w:tabs>
        <w:rPr>
          <w:b/>
        </w:rPr>
      </w:pPr>
      <w:r>
        <w:rPr>
          <w:b/>
        </w:rPr>
        <w:t>Results</w:t>
      </w:r>
    </w:p>
    <w:p w:rsidR="008B2D8A" w:rsidRDefault="008B2D8A" w:rsidP="008B2D8A">
      <w:pPr>
        <w:tabs>
          <w:tab w:val="left" w:pos="1846"/>
        </w:tabs>
        <w:rPr>
          <w:b/>
        </w:rPr>
      </w:pPr>
      <w:r w:rsidRPr="009779F7">
        <w:rPr>
          <w:b/>
        </w:rPr>
        <w:t xml:space="preserve">Calculation of </w:t>
      </w:r>
      <w:proofErr w:type="spellStart"/>
      <w:r w:rsidRPr="009779F7">
        <w:rPr>
          <w:b/>
        </w:rPr>
        <w:t>N</w:t>
      </w:r>
      <w:r w:rsidRPr="009779F7">
        <w:rPr>
          <w:b/>
          <w:vertAlign w:val="subscript"/>
        </w:rPr>
        <w:t>min</w:t>
      </w:r>
      <w:proofErr w:type="spellEnd"/>
    </w:p>
    <w:p w:rsidR="008B2D8A" w:rsidRPr="00673A3F" w:rsidRDefault="008B2D8A" w:rsidP="008B2D8A">
      <w:pPr>
        <w:tabs>
          <w:tab w:val="left" w:pos="1846"/>
        </w:tabs>
      </w:pPr>
      <w:r>
        <w:t xml:space="preserve">We illustrate the steps for calculating </w:t>
      </w:r>
      <w:proofErr w:type="spellStart"/>
      <w:r w:rsidRPr="00D41682">
        <w:t>N</w:t>
      </w:r>
      <w:r>
        <w:rPr>
          <w:vertAlign w:val="subscript"/>
        </w:rPr>
        <w:t>min</w:t>
      </w:r>
      <w:proofErr w:type="spellEnd"/>
      <w:r>
        <w:t xml:space="preserve"> for the female cohort, following the process outlined in Riley et al.</w:t>
      </w:r>
      <w:r>
        <w:fldChar w:fldCharType="begin" w:fldLock="1"/>
      </w:r>
      <w:r w:rsidR="006063FE">
        <w:instrText>ADDIN CSL_CITATION { "citationItems" : [ { "id" : "ITEM-1", "itemData" : { "DOI" : "10.1002/sim.7992", "ISSN" : "10970258", "abstract" : "When designing a study to develop a new prediction model with binary or time-to-event outcomes, researchers should ensure their sample size is adequate in terms of the number of participants (n) and outcome events (E) relative to the number of predictor parameters (p) considered for inclusion. We propose that the minimum values of n and E (and subsequently the minimum number of events per predictor parameter, EPP) should be calculated to meet the following three criteria: (i) small optimism in predictor effect estimates as defined by a global shrinkage factor of \u22650.9, (ii) small absolute difference of \u2264 0.05 in the model's apparent and adjusted Nagelkerke's R2 , and (iii) precise estimation of the overall risk in the population. Criteria (i) and (ii) aim to reduce overfitting conditional on a chosen p, and require prespecification of the model's anticipated Cox-Snell R2 , which we show can be obtained from previous studies. The values of n and E that meet all three criteria provides the minimum sample size required for model development. Upon application of our approach, a new diagnostic model for Chagas disease requires an EPP of at least 4.8 and a new prognostic model for recurrent venous thromboembolism requires an EPP of at least 23. This reinforces why rules of thumb (eg, 10 EPP) should be avoided. Researchers might additionally ensure the sample size gives precise estimates of key predictor effects; this is especially important when key categorical predictors have few events in some categories, as this may substantially increase the numbers required.", "author" : [ { "dropping-particle" : "", "family" : "Riley", "given" : "Richard D.", "non-dropping-particle" : "", "parse-names" : false, "suffix" : "" }, { "dropping-particle" : "", "family" : "Snell", "given" : "Kym I.E.", "non-dropping-particle" : "", "parse-names" : false, "suffix" : "" }, { "dropping-particle" : "", "family" : "Ensor", "given" : "Joie", "non-dropping-particle" : "", "parse-names" : false, "suffix" : "" }, { "dropping-particle" : "", "family" : "Burke", "given" : "Danielle L.", "non-dropping-particle" : "", "parse-names" : false, "suffix" : "" }, { "dropping-particle" : "", "family" : "Harrell", "given" : "Frank E.", "non-dropping-particle" : "", "parse-names" : false, "suffix" : "" }, { "dropping-particle" : "", "family" : "Moons", "given" : "Karel G.M.", "non-dropping-particle" : "", "parse-names" : false, "suffix" : "" }, { "dropping-particle" : "", "family" : "Collins", "given" : "Gary S.", "non-dropping-particle" : "", "parse-names" : false, "suffix" : "" } ], "container-title" : "Statistics in Medicine", "id" : "ITEM-1", "issue" : "7", "issued" : { "date-parts" : [ [ "2019" ] ] }, "page" : "1276-1296", "title" : "Minimum sample size for developing a multivariable prediction model: PART II - binary and time-to-event outcomes", "type" : "article-journal", "volume" : "38" }, "uris" : [ "http://www.mendeley.com/documents/?uuid=f02c7145-0f5b-4422-a2fb-cf69a14fc132" ] } ], "mendeley" : { "formattedCitation" : "&lt;sup&gt;1&lt;/sup&gt;", "plainTextFormattedCitation" : "1", "previouslyFormattedCitation" : "(1)" }, "properties" : { "noteIndex" : 4 }, "schema" : "https://github.com/citation-style-language/schema/raw/master/csl-citation.json" }</w:instrText>
      </w:r>
      <w:r>
        <w:fldChar w:fldCharType="separate"/>
      </w:r>
      <w:r w:rsidR="006063FE" w:rsidRPr="006063FE">
        <w:rPr>
          <w:noProof/>
          <w:vertAlign w:val="superscript"/>
        </w:rPr>
        <w:t>1</w:t>
      </w:r>
      <w:r>
        <w:fldChar w:fldCharType="end"/>
      </w:r>
    </w:p>
    <w:p w:rsidR="008B2D8A" w:rsidRDefault="008B2D8A" w:rsidP="008B2D8A">
      <w:pPr>
        <w:tabs>
          <w:tab w:val="left" w:pos="1846"/>
        </w:tabs>
        <w:rPr>
          <w:i/>
        </w:rPr>
      </w:pPr>
      <w:r w:rsidRPr="00D41682">
        <w:rPr>
          <w:i/>
        </w:rPr>
        <w:t>Criteria</w:t>
      </w:r>
      <w:r w:rsidRPr="00A62127">
        <w:rPr>
          <w:i/>
        </w:rPr>
        <w:t xml:space="preserve"> (</w:t>
      </w:r>
      <w:proofErr w:type="spellStart"/>
      <w:r w:rsidRPr="00A62127">
        <w:rPr>
          <w:i/>
        </w:rPr>
        <w:t>i</w:t>
      </w:r>
      <w:proofErr w:type="spellEnd"/>
      <w:r w:rsidRPr="00A62127">
        <w:rPr>
          <w:i/>
        </w:rPr>
        <w:t>)</w:t>
      </w:r>
      <w:r>
        <w:rPr>
          <w:i/>
        </w:rPr>
        <w:t xml:space="preserve"> </w:t>
      </w:r>
    </w:p>
    <w:p w:rsidR="008B2D8A" w:rsidRDefault="008B2D8A" w:rsidP="008B2D8A">
      <w:pPr>
        <w:tabs>
          <w:tab w:val="left" w:pos="1846"/>
        </w:tabs>
      </w:pPr>
      <w:r>
        <w:t>We start by calculating:</w:t>
      </w:r>
    </w:p>
    <w:p w:rsidR="008B2D8A" w:rsidRPr="00D41682" w:rsidRDefault="007C175B" w:rsidP="008B2D8A">
      <w:pPr>
        <w:tabs>
          <w:tab w:val="left" w:pos="1846"/>
        </w:tabs>
        <w:jc w:val="center"/>
        <w:rPr>
          <w:rFonts w:eastAsiaTheme="minorEastAsia"/>
        </w:rPr>
      </w:pPr>
      <m:oMathPara>
        <m:oMath>
          <m:sSubSup>
            <m:sSubSupPr>
              <m:ctrlPr>
                <w:rPr>
                  <w:rFonts w:ascii="Cambria Math" w:hAnsi="Cambria Math"/>
                  <w:i/>
                </w:rPr>
              </m:ctrlPr>
            </m:sSubSupPr>
            <m:e>
              <m:r>
                <w:rPr>
                  <w:rFonts w:ascii="Cambria Math" w:hAnsi="Cambria Math"/>
                </w:rPr>
                <m:t>R</m:t>
              </m:r>
            </m:e>
            <m:sub>
              <m:r>
                <w:rPr>
                  <w:rFonts w:ascii="Cambria Math" w:hAnsi="Cambria Math"/>
                </w:rPr>
                <m:t>CS_APP</m:t>
              </m:r>
            </m:sub>
            <m:sup>
              <m:r>
                <w:rPr>
                  <w:rFonts w:ascii="Cambria Math" w:hAnsi="Cambria Math"/>
                </w:rPr>
                <m:t>2</m:t>
              </m:r>
            </m:sup>
          </m:sSubSup>
          <m:r>
            <m:rPr>
              <m:aln/>
            </m:rPr>
            <w:rPr>
              <w:rFonts w:ascii="Cambria Math" w:eastAsiaTheme="minorEastAsia" w:hAnsi="Cambria Math"/>
            </w:rPr>
            <m:t>=1-</m:t>
          </m:r>
          <m:func>
            <m:funcPr>
              <m:ctrlPr>
                <w:rPr>
                  <w:rFonts w:ascii="Cambria Math" w:eastAsiaTheme="minorEastAsia" w:hAnsi="Cambria Math"/>
                </w:rPr>
              </m:ctrlPr>
            </m:funcPr>
            <m:fName>
              <m:r>
                <m:rPr>
                  <m:sty m:val="p"/>
                </m:rPr>
                <w:rPr>
                  <w:rFonts w:ascii="Cambria Math" w:eastAsiaTheme="minorEastAsia" w:hAnsi="Cambria Math"/>
                </w:rPr>
                <m:t>exp</m:t>
              </m:r>
              <m:ctrlPr>
                <w:rPr>
                  <w:rFonts w:ascii="Cambria Math" w:eastAsiaTheme="minorEastAsia" w:hAnsi="Cambria Math"/>
                  <w:i/>
                </w:rPr>
              </m:ctrlPr>
            </m:fName>
            <m:e>
              <m:d>
                <m:dPr>
                  <m:ctrlPr>
                    <w:rPr>
                      <w:rFonts w:ascii="Cambria Math" w:eastAsiaTheme="minorEastAsia" w:hAnsi="Cambria Math"/>
                      <w:i/>
                    </w:rPr>
                  </m:ctrlPr>
                </m:dPr>
                <m:e>
                  <m:f>
                    <m:fPr>
                      <m:ctrlPr>
                        <w:rPr>
                          <w:rFonts w:ascii="Cambria Math" w:eastAsiaTheme="minorEastAsia" w:hAnsi="Cambria Math"/>
                          <w:i/>
                        </w:rPr>
                      </m:ctrlPr>
                    </m:fPr>
                    <m:num>
                      <m:r>
                        <w:rPr>
                          <w:rFonts w:ascii="Cambria Math" w:eastAsiaTheme="minorEastAsia" w:hAnsi="Cambria Math"/>
                        </w:rPr>
                        <m:t>LR</m:t>
                      </m:r>
                    </m:num>
                    <m:den>
                      <m:r>
                        <w:rPr>
                          <w:rFonts w:ascii="Cambria Math" w:eastAsiaTheme="minorEastAsia" w:hAnsi="Cambria Math"/>
                        </w:rPr>
                        <m:t>n</m:t>
                      </m:r>
                    </m:den>
                  </m:f>
                </m:e>
              </m:d>
            </m:e>
          </m:func>
          <m:r>
            <m:rPr>
              <m:sty m:val="p"/>
            </m:rPr>
            <w:rPr>
              <w:rFonts w:ascii="Cambria Math" w:eastAsiaTheme="minorEastAsia" w:hAnsi="Cambria Math"/>
            </w:rPr>
            <w:br/>
          </m:r>
        </m:oMath>
        <m:oMath>
          <m:r>
            <m:rPr>
              <m:aln/>
            </m:rPr>
            <w:rPr>
              <w:rFonts w:ascii="Cambria Math" w:eastAsiaTheme="minorEastAsia" w:hAnsi="Cambria Math"/>
            </w:rPr>
            <m:t>= 0.0780</m:t>
          </m:r>
        </m:oMath>
      </m:oMathPara>
    </w:p>
    <w:p w:rsidR="008B2D8A" w:rsidRDefault="008B2D8A" w:rsidP="008B2D8A">
      <w:r>
        <w:t xml:space="preserve">Where </w:t>
      </w:r>
      <m:oMath>
        <m:sSubSup>
          <m:sSubSupPr>
            <m:ctrlPr>
              <w:rPr>
                <w:rFonts w:ascii="Cambria Math" w:hAnsi="Cambria Math"/>
                <w:i/>
              </w:rPr>
            </m:ctrlPr>
          </m:sSubSupPr>
          <m:e>
            <m:r>
              <w:rPr>
                <w:rFonts w:ascii="Cambria Math" w:hAnsi="Cambria Math"/>
              </w:rPr>
              <m:t>R</m:t>
            </m:r>
          </m:e>
          <m:sub>
            <m:r>
              <w:rPr>
                <w:rFonts w:ascii="Cambria Math" w:hAnsi="Cambria Math"/>
              </w:rPr>
              <m:t>CS_APP</m:t>
            </m:r>
          </m:sub>
          <m:sup>
            <m:r>
              <w:rPr>
                <w:rFonts w:ascii="Cambria Math" w:hAnsi="Cambria Math"/>
              </w:rPr>
              <m:t>2</m:t>
            </m:r>
          </m:sup>
        </m:sSubSup>
      </m:oMath>
      <w:r>
        <w:t xml:space="preserve">  is a biased estimate of the Cox-Snell</w:t>
      </w:r>
      <w:r>
        <w:fldChar w:fldCharType="begin" w:fldLock="1"/>
      </w:r>
      <w:r w:rsidR="006063FE">
        <w:instrText>ADDIN CSL_CITATION { "citationItems" : [ { "id" : "ITEM-1", "itemData" : { "ISBN" : "978-0412306204", "author" : [ { "dropping-particle" : "", "family" : "Cox", "given" : "D. R.", "non-dropping-particle" : "", "parse-names" : false, "suffix" : "" }, { "dropping-particle" : "", "family" : "Snell", "given" : "E. J.", "non-dropping-particle" : "", "parse-names" : false, "suffix" : "" } ], "edition" : "2 edition ", "id" : "ITEM-1", "issued" : { "date-parts" : [ [ "1989" ] ] }, "publisher" : "Chapman and Hall/CRC", "title" : "Analysis of Binary Data", "type" : "book" }, "uris" : [ "http://www.mendeley.com/documents/?uuid=1465a87f-7d9f-4998-bbf4-fc7ba91aee08", "http://www.mendeley.com/documents/?uuid=4d48281e-f998-475d-8478-9be6fb9d83b6" ] } ], "mendeley" : { "formattedCitation" : "&lt;sup&gt;5&lt;/sup&gt;", "plainTextFormattedCitation" : "5", "previouslyFormattedCitation" : "(5)" }, "properties" : { "noteIndex" : 3 }, "schema" : "https://github.com/citation-style-language/schema/raw/master/csl-citation.json" }</w:instrText>
      </w:r>
      <w:r>
        <w:fldChar w:fldCharType="separate"/>
      </w:r>
      <w:r w:rsidR="006063FE" w:rsidRPr="006063FE">
        <w:rPr>
          <w:noProof/>
          <w:vertAlign w:val="superscript"/>
        </w:rPr>
        <w:t>5</w:t>
      </w:r>
      <w:r>
        <w:fldChar w:fldCharType="end"/>
      </w:r>
      <w:r>
        <w:t xml:space="preserve"> R</w:t>
      </w:r>
      <w:r>
        <w:rPr>
          <w:vertAlign w:val="superscript"/>
        </w:rPr>
        <w:t xml:space="preserve">2 </w:t>
      </w:r>
      <w:r>
        <w:t>(based on the work by Magee</w:t>
      </w:r>
      <w:r>
        <w:fldChar w:fldCharType="begin" w:fldLock="1"/>
      </w:r>
      <w:r w:rsidR="006063FE">
        <w:instrText>ADDIN CSL_CITATION { "citationItems" : [ { "id" : "ITEM-1", "itemData" : { "DOI" : "10.1080/00031305.1990.10475731", "ISSN" : "15372731", "abstract" : "Abstract Two methods are suggested for generating R 2 measures for a wide class of models. These measures are linked to the R 2 of the standard linear regression model through Wald and likelihood ratio statistics for testing the joint significance of the explanatory variables. Some currently used R 2's are shown to be special cases of these methods.", "author" : [ { "dropping-particle" : "", "family" : "Magee", "given" : "Lonnie", "non-dropping-particle" : "", "parse-names" : false, "suffix" : "" } ], "container-title" : "American Statistician", "id" : "ITEM-1", "issue" : "3", "issued" : { "date-parts" : [ [ "1990" ] ] }, "page" : "250-253", "title" : "R2 measures based on wald and likelihood ratio joint significance tests", "type" : "article-journal", "volume" : "44" }, "uris" : [ "http://www.mendeley.com/documents/?uuid=d842fbae-9c73-4c10-848b-59963a5a9785", "http://www.mendeley.com/documents/?uuid=04144667-33d0-40a8-9aa0-8ab275ea24cf" ] } ], "mendeley" : { "formattedCitation" : "&lt;sup&gt;6&lt;/sup&gt;", "plainTextFormattedCitation" : "6", "previouslyFormattedCitation" : "(6)" }, "properties" : { "noteIndex" : 4 }, "schema" : "https://github.com/citation-style-language/schema/raw/master/csl-citation.json" }</w:instrText>
      </w:r>
      <w:r>
        <w:fldChar w:fldCharType="separate"/>
      </w:r>
      <w:r w:rsidR="006063FE" w:rsidRPr="006063FE">
        <w:rPr>
          <w:noProof/>
          <w:vertAlign w:val="superscript"/>
        </w:rPr>
        <w:t>6</w:t>
      </w:r>
      <w:r>
        <w:fldChar w:fldCharType="end"/>
      </w:r>
      <w:r>
        <w:t>)</w:t>
      </w:r>
      <w:r>
        <w:rPr>
          <w:vertAlign w:val="superscript"/>
        </w:rPr>
        <w:t xml:space="preserve"> </w:t>
      </w:r>
      <w:r>
        <w:t>, LR = likelihood ratio of the model developed on the entire population, and n = 1,865,078 is the size of the cohort used in that model. Next we calculate:</w:t>
      </w:r>
    </w:p>
    <w:p w:rsidR="008B2D8A" w:rsidRPr="00B0149B" w:rsidRDefault="007C175B" w:rsidP="008B2D8A">
      <w:pPr>
        <w:rPr>
          <w:rFonts w:eastAsiaTheme="minorEastAsia"/>
        </w:rPr>
      </w:pPr>
      <m:oMathPara>
        <m:oMath>
          <m:sSub>
            <m:sSubPr>
              <m:ctrlPr>
                <w:rPr>
                  <w:rFonts w:ascii="Cambria Math" w:hAnsi="Cambria Math"/>
                  <w:i/>
                </w:rPr>
              </m:ctrlPr>
            </m:sSubPr>
            <m:e>
              <m:r>
                <w:rPr>
                  <w:rFonts w:ascii="Cambria Math" w:hAnsi="Cambria Math"/>
                </w:rPr>
                <m:t>S</m:t>
              </m:r>
            </m:e>
            <m:sub>
              <m:r>
                <w:rPr>
                  <w:rFonts w:ascii="Cambria Math" w:hAnsi="Cambria Math"/>
                </w:rPr>
                <m:t>VH</m:t>
              </m:r>
            </m:sub>
          </m:sSub>
          <m:r>
            <w:rPr>
              <w:rFonts w:ascii="Cambria Math" w:hAnsi="Cambria Math"/>
            </w:rPr>
            <m:t>=1+</m:t>
          </m:r>
          <m:d>
            <m:dPr>
              <m:ctrlPr>
                <w:rPr>
                  <w:rFonts w:ascii="Cambria Math" w:hAnsi="Cambria Math"/>
                  <w:i/>
                </w:rPr>
              </m:ctrlPr>
            </m:dPr>
            <m:e>
              <m:f>
                <m:fPr>
                  <m:ctrlPr>
                    <w:rPr>
                      <w:rFonts w:ascii="Cambria Math" w:hAnsi="Cambria Math"/>
                      <w:i/>
                    </w:rPr>
                  </m:ctrlPr>
                </m:fPr>
                <m:num>
                  <m:r>
                    <w:rPr>
                      <w:rFonts w:ascii="Cambria Math" w:hAnsi="Cambria Math"/>
                    </w:rPr>
                    <m:t>p</m:t>
                  </m:r>
                </m:num>
                <m:den>
                  <m:r>
                    <w:rPr>
                      <w:rFonts w:ascii="Cambria Math" w:hAnsi="Cambria Math"/>
                    </w:rPr>
                    <m:t>n*</m:t>
                  </m:r>
                  <m:r>
                    <m:rPr>
                      <m:sty m:val="p"/>
                    </m:rPr>
                    <w:rPr>
                      <w:rFonts w:ascii="Cambria Math" w:hAnsi="Cambria Math"/>
                    </w:rPr>
                    <m:t>ln⁡</m:t>
                  </m:r>
                  <m:r>
                    <w:rPr>
                      <w:rFonts w:ascii="Cambria Math" w:hAnsi="Cambria Math"/>
                    </w:rPr>
                    <m:t>(1-</m:t>
                  </m:r>
                  <m:sSubSup>
                    <m:sSubSupPr>
                      <m:ctrlPr>
                        <w:rPr>
                          <w:rFonts w:ascii="Cambria Math" w:hAnsi="Cambria Math"/>
                          <w:i/>
                        </w:rPr>
                      </m:ctrlPr>
                    </m:sSubSupPr>
                    <m:e>
                      <m:r>
                        <w:rPr>
                          <w:rFonts w:ascii="Cambria Math" w:hAnsi="Cambria Math"/>
                        </w:rPr>
                        <m:t>R</m:t>
                      </m:r>
                    </m:e>
                    <m:sub>
                      <m:r>
                        <w:rPr>
                          <w:rFonts w:ascii="Cambria Math" w:hAnsi="Cambria Math"/>
                        </w:rPr>
                        <m:t>C</m:t>
                      </m:r>
                      <m:sSub>
                        <m:sSubPr>
                          <m:ctrlPr>
                            <w:rPr>
                              <w:rFonts w:ascii="Cambria Math" w:hAnsi="Cambria Math"/>
                              <w:i/>
                            </w:rPr>
                          </m:ctrlPr>
                        </m:sSubPr>
                        <m:e>
                          <m:r>
                            <w:rPr>
                              <w:rFonts w:ascii="Cambria Math" w:hAnsi="Cambria Math"/>
                            </w:rPr>
                            <m:t>S</m:t>
                          </m:r>
                        </m:e>
                        <m:sub>
                          <m:r>
                            <w:rPr>
                              <w:rFonts w:ascii="Cambria Math" w:hAnsi="Cambria Math"/>
                            </w:rPr>
                            <m:t>APP</m:t>
                          </m:r>
                        </m:sub>
                      </m:sSub>
                    </m:sub>
                    <m:sup>
                      <m:r>
                        <w:rPr>
                          <w:rFonts w:ascii="Cambria Math" w:hAnsi="Cambria Math"/>
                        </w:rPr>
                        <m:t>2</m:t>
                      </m:r>
                    </m:sup>
                  </m:sSubSup>
                  <m:r>
                    <w:rPr>
                      <w:rFonts w:ascii="Cambria Math" w:hAnsi="Cambria Math"/>
                    </w:rPr>
                    <m:t>)</m:t>
                  </m:r>
                </m:den>
              </m:f>
            </m:e>
          </m:d>
          <m:r>
            <m:rPr>
              <m:sty m:val="p"/>
            </m:rPr>
            <w:rPr>
              <w:rFonts w:ascii="Cambria Math" w:hAnsi="Cambria Math"/>
            </w:rPr>
            <w:br/>
          </m:r>
        </m:oMath>
        <m:oMath>
          <m:r>
            <m:rPr>
              <m:aln/>
            </m:rPr>
            <w:rPr>
              <w:rFonts w:ascii="Cambria Math" w:eastAsiaTheme="minorEastAsia" w:hAnsi="Cambria Math"/>
            </w:rPr>
            <m:t>=0.99991</m:t>
          </m:r>
        </m:oMath>
      </m:oMathPara>
    </w:p>
    <w:p w:rsidR="008B2D8A" w:rsidRPr="00B0149B" w:rsidRDefault="008B2D8A" w:rsidP="008B2D8A">
      <w:pPr>
        <w:rPr>
          <w:rFonts w:eastAsiaTheme="minorEastAsia"/>
        </w:rPr>
      </w:pPr>
    </w:p>
    <w:p w:rsidR="008B2D8A" w:rsidRDefault="008B2D8A" w:rsidP="008B2D8A">
      <w:r>
        <w:t xml:space="preserve">Where </w:t>
      </w:r>
      <m:oMath>
        <m:sSub>
          <m:sSubPr>
            <m:ctrlPr>
              <w:rPr>
                <w:rFonts w:ascii="Cambria Math" w:hAnsi="Cambria Math"/>
                <w:i/>
              </w:rPr>
            </m:ctrlPr>
          </m:sSubPr>
          <m:e>
            <m:r>
              <w:rPr>
                <w:rFonts w:ascii="Cambria Math" w:hAnsi="Cambria Math"/>
              </w:rPr>
              <m:t>S</m:t>
            </m:r>
          </m:e>
          <m:sub>
            <m:r>
              <w:rPr>
                <w:rFonts w:ascii="Cambria Math" w:hAnsi="Cambria Math"/>
              </w:rPr>
              <m:t>VH</m:t>
            </m:r>
          </m:sub>
        </m:sSub>
      </m:oMath>
      <w:r>
        <w:rPr>
          <w:rFonts w:eastAsiaTheme="minorEastAsia"/>
        </w:rPr>
        <w:t xml:space="preserve"> is the global shrinkage factor of Van Houwelingen and Le Cassie</w:t>
      </w:r>
      <w:r>
        <w:rPr>
          <w:rFonts w:eastAsiaTheme="minorEastAsia"/>
        </w:rPr>
        <w:fldChar w:fldCharType="begin" w:fldLock="1"/>
      </w:r>
      <w:r w:rsidR="006063FE">
        <w:rPr>
          <w:rFonts w:eastAsiaTheme="minorEastAsia"/>
        </w:rPr>
        <w:instrText>ADDIN CSL_CITATION { "citationItems" : [ { "id" : "ITEM-1", "itemData" : { "author" : [ { "dropping-particle" : "", "family" : "Houwelingen", "given" : "JC", "non-dropping-particle" : "Van", "parse-names" : false, "suffix" : "" }, { "dropping-particle" : "", "family" : "Cessie", "given" : "S", "non-dropping-particle" : "Le", "parse-names" : false, "suffix" : "" } ], "container-title" : "Statistics in Medicine", "id" : "ITEM-1", "issue" : "11", "issued" : { "date-parts" : [ [ "1990" ] ] }, "page" : "1303-1325", "title" : "Predictive value of statistical models", "type" : "article-journal", "volume" : "9" }, "uris" : [ "http://www.mendeley.com/documents/?uuid=c8f1ac65-f996-41b9-b033-88a466e813ca", "http://www.mendeley.com/documents/?uuid=b64e6068-61e6-4a08-9230-1567a38269a4" ] } ], "mendeley" : { "formattedCitation" : "&lt;sup&gt;2&lt;/sup&gt;", "plainTextFormattedCitation" : "2", "previouslyFormattedCitation" : "(2)" }, "properties" : { "noteIndex" : 4 }, "schema" : "https://github.com/citation-style-language/schema/raw/master/csl-citation.json" }</w:instrText>
      </w:r>
      <w:r>
        <w:rPr>
          <w:rFonts w:eastAsiaTheme="minorEastAsia"/>
        </w:rPr>
        <w:fldChar w:fldCharType="separate"/>
      </w:r>
      <w:r w:rsidR="006063FE" w:rsidRPr="006063FE">
        <w:rPr>
          <w:rFonts w:eastAsiaTheme="minorEastAsia"/>
          <w:noProof/>
          <w:vertAlign w:val="superscript"/>
        </w:rPr>
        <w:t>2</w:t>
      </w:r>
      <w:r>
        <w:rPr>
          <w:rFonts w:eastAsiaTheme="minorEastAsia"/>
        </w:rPr>
        <w:fldChar w:fldCharType="end"/>
      </w:r>
      <w:r>
        <w:rPr>
          <w:rFonts w:eastAsiaTheme="minorEastAsia"/>
        </w:rPr>
        <w:t>, and</w:t>
      </w:r>
      <w:r>
        <w:t xml:space="preserve"> p = 13 is the number of predictor variables. There are 9 variables, and but Smoking contributes two dummy </w:t>
      </w:r>
      <w:r>
        <w:lastRenderedPageBreak/>
        <w:t>variables (categories = yes/ex/never) and Townsend contributes 4 dummy variables (5 deprivation categories). Then we can calculate:</w:t>
      </w:r>
    </w:p>
    <w:p w:rsidR="008B2D8A" w:rsidRDefault="007C175B" w:rsidP="008B2D8A">
      <m:oMathPara>
        <m:oMath>
          <m:sSubSup>
            <m:sSubSupPr>
              <m:ctrlPr>
                <w:rPr>
                  <w:rFonts w:ascii="Cambria Math" w:hAnsi="Cambria Math"/>
                  <w:i/>
                </w:rPr>
              </m:ctrlPr>
            </m:sSubSupPr>
            <m:e>
              <m:r>
                <w:rPr>
                  <w:rFonts w:ascii="Cambria Math" w:hAnsi="Cambria Math"/>
                </w:rPr>
                <m:t>R</m:t>
              </m:r>
            </m:e>
            <m:sub>
              <m:r>
                <w:rPr>
                  <w:rFonts w:ascii="Cambria Math" w:hAnsi="Cambria Math"/>
                </w:rPr>
                <m:t>CS_ADJ</m:t>
              </m:r>
            </m:sub>
            <m:sup>
              <m:r>
                <w:rPr>
                  <w:rFonts w:ascii="Cambria Math" w:hAnsi="Cambria Math"/>
                </w:rPr>
                <m:t>2</m:t>
              </m:r>
            </m:sup>
          </m:sSubSup>
          <m:r>
            <m:rPr>
              <m:aln/>
            </m:rP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VH</m:t>
              </m:r>
            </m:sub>
          </m:sSub>
          <m:r>
            <w:rPr>
              <w:rFonts w:ascii="Cambria Math" w:hAnsi="Cambria Math"/>
            </w:rPr>
            <m:t>*</m:t>
          </m:r>
          <m:sSubSup>
            <m:sSubSupPr>
              <m:ctrlPr>
                <w:rPr>
                  <w:rFonts w:ascii="Cambria Math" w:hAnsi="Cambria Math"/>
                  <w:i/>
                </w:rPr>
              </m:ctrlPr>
            </m:sSubSupPr>
            <m:e>
              <m:r>
                <w:rPr>
                  <w:rFonts w:ascii="Cambria Math" w:hAnsi="Cambria Math"/>
                </w:rPr>
                <m:t>R</m:t>
              </m:r>
            </m:e>
            <m:sub>
              <m:r>
                <w:rPr>
                  <w:rFonts w:ascii="Cambria Math" w:hAnsi="Cambria Math"/>
                </w:rPr>
                <m:t>CS_APP</m:t>
              </m:r>
            </m:sub>
            <m:sup>
              <m:r>
                <w:rPr>
                  <w:rFonts w:ascii="Cambria Math" w:hAnsi="Cambria Math"/>
                </w:rPr>
                <m:t>2</m:t>
              </m:r>
            </m:sup>
          </m:sSubSup>
          <m:r>
            <m:rPr>
              <m:sty m:val="p"/>
            </m:rPr>
            <w:rPr>
              <w:rFonts w:ascii="Cambria Math" w:hAnsi="Cambria Math"/>
            </w:rPr>
            <w:br/>
          </m:r>
        </m:oMath>
        <m:oMath>
          <m:r>
            <m:rPr>
              <m:aln/>
            </m:rPr>
            <w:rPr>
              <w:rFonts w:ascii="Cambria Math" w:hAnsi="Cambria Math"/>
            </w:rPr>
            <m:t>=0.0780</m:t>
          </m:r>
          <m:r>
            <m:rPr>
              <m:sty m:val="p"/>
            </m:rPr>
            <w:rPr>
              <w:rFonts w:ascii="Cambria Math" w:hAnsi="Cambria Math"/>
            </w:rPr>
            <w:br/>
          </m:r>
        </m:oMath>
      </m:oMathPara>
    </w:p>
    <w:p w:rsidR="008B2D8A" w:rsidRDefault="008B2D8A" w:rsidP="008B2D8A">
      <w:r>
        <w:t>To get a model which has a shrinkage of at least S</w:t>
      </w:r>
      <w:r>
        <w:rPr>
          <w:vertAlign w:val="subscript"/>
        </w:rPr>
        <w:t>VH</w:t>
      </w:r>
      <w:r>
        <w:t xml:space="preserve"> = 0.9, as is recommended in the guidelines, we use the following formula:</w:t>
      </w:r>
    </w:p>
    <w:p w:rsidR="008B2D8A" w:rsidRDefault="007C175B" w:rsidP="008B2D8A">
      <m:oMathPara>
        <m:oMath>
          <m:sSub>
            <m:sSubPr>
              <m:ctrlPr>
                <w:rPr>
                  <w:rFonts w:ascii="Cambria Math" w:hAnsi="Cambria Math"/>
                  <w:i/>
                </w:rPr>
              </m:ctrlPr>
            </m:sSubPr>
            <m:e>
              <m:r>
                <w:rPr>
                  <w:rFonts w:ascii="Cambria Math" w:hAnsi="Cambria Math"/>
                </w:rPr>
                <m:t>N</m:t>
              </m:r>
            </m:e>
            <m:sub>
              <m:r>
                <w:rPr>
                  <w:rFonts w:ascii="Cambria Math" w:hAnsi="Cambria Math"/>
                </w:rPr>
                <m:t>min</m:t>
              </m:r>
            </m:sub>
          </m:sSub>
          <m:r>
            <m:rPr>
              <m:aln/>
            </m:rPr>
            <w:rPr>
              <w:rFonts w:ascii="Cambria Math" w:hAnsi="Cambria Math"/>
            </w:rPr>
            <m:t>=</m:t>
          </m:r>
          <m:f>
            <m:fPr>
              <m:ctrlPr>
                <w:rPr>
                  <w:rFonts w:ascii="Cambria Math" w:hAnsi="Cambria Math"/>
                  <w:i/>
                </w:rPr>
              </m:ctrlPr>
            </m:fPr>
            <m:num>
              <m:r>
                <w:rPr>
                  <w:rFonts w:ascii="Cambria Math" w:hAnsi="Cambria Math"/>
                </w:rPr>
                <m:t>p</m:t>
              </m:r>
            </m:num>
            <m:den>
              <m:d>
                <m:dPr>
                  <m:ctrlPr>
                    <w:rPr>
                      <w:rFonts w:ascii="Cambria Math" w:hAnsi="Cambria Math"/>
                      <w:i/>
                    </w:rPr>
                  </m:ctrlPr>
                </m:dPr>
                <m:e>
                  <m:sSub>
                    <m:sSubPr>
                      <m:ctrlPr>
                        <w:rPr>
                          <w:rFonts w:ascii="Cambria Math" w:hAnsi="Cambria Math"/>
                          <w:i/>
                        </w:rPr>
                      </m:ctrlPr>
                    </m:sSubPr>
                    <m:e>
                      <m:r>
                        <w:rPr>
                          <w:rFonts w:ascii="Cambria Math" w:hAnsi="Cambria Math"/>
                        </w:rPr>
                        <m:t>S</m:t>
                      </m:r>
                    </m:e>
                    <m:sub>
                      <m:r>
                        <w:rPr>
                          <w:rFonts w:ascii="Cambria Math" w:hAnsi="Cambria Math"/>
                        </w:rPr>
                        <m:t>VH</m:t>
                      </m:r>
                    </m:sub>
                  </m:sSub>
                  <m:r>
                    <w:rPr>
                      <w:rFonts w:ascii="Cambria Math" w:hAnsi="Cambria Math"/>
                    </w:rPr>
                    <m:t>-1</m:t>
                  </m:r>
                </m:e>
              </m:d>
              <m:r>
                <w:rPr>
                  <w:rFonts w:ascii="Cambria Math" w:hAnsi="Cambria Math"/>
                </w:rPr>
                <m:t>*ln</m:t>
              </m:r>
              <m:d>
                <m:dPr>
                  <m:ctrlPr>
                    <w:rPr>
                      <w:rFonts w:ascii="Cambria Math" w:hAnsi="Cambria Math"/>
                      <w:i/>
                    </w:rPr>
                  </m:ctrlPr>
                </m:dPr>
                <m:e>
                  <m:r>
                    <w:rPr>
                      <w:rFonts w:ascii="Cambria Math" w:hAnsi="Cambria Math"/>
                    </w:rPr>
                    <m:t xml:space="preserve">1- </m:t>
                  </m:r>
                  <m:f>
                    <m:fPr>
                      <m:type m:val="skw"/>
                      <m:ctrlPr>
                        <w:rPr>
                          <w:rFonts w:ascii="Cambria Math" w:hAnsi="Cambria Math"/>
                          <w:i/>
                        </w:rPr>
                      </m:ctrlPr>
                    </m:fPr>
                    <m:num>
                      <m:sSubSup>
                        <m:sSubSupPr>
                          <m:ctrlPr>
                            <w:rPr>
                              <w:rFonts w:ascii="Cambria Math" w:hAnsi="Cambria Math"/>
                              <w:i/>
                            </w:rPr>
                          </m:ctrlPr>
                        </m:sSubSupPr>
                        <m:e>
                          <m:r>
                            <w:rPr>
                              <w:rFonts w:ascii="Cambria Math" w:hAnsi="Cambria Math"/>
                            </w:rPr>
                            <m:t>R</m:t>
                          </m:r>
                        </m:e>
                        <m:sub>
                          <m:r>
                            <w:rPr>
                              <w:rFonts w:ascii="Cambria Math" w:hAnsi="Cambria Math"/>
                            </w:rPr>
                            <m:t>CS_ADJ</m:t>
                          </m:r>
                        </m:sub>
                        <m:sup>
                          <m:r>
                            <w:rPr>
                              <w:rFonts w:ascii="Cambria Math" w:hAnsi="Cambria Math"/>
                            </w:rPr>
                            <m:t>2</m:t>
                          </m:r>
                        </m:sup>
                      </m:sSubSup>
                    </m:num>
                    <m:den>
                      <m:sSub>
                        <m:sSubPr>
                          <m:ctrlPr>
                            <w:rPr>
                              <w:rFonts w:ascii="Cambria Math" w:hAnsi="Cambria Math"/>
                              <w:i/>
                            </w:rPr>
                          </m:ctrlPr>
                        </m:sSubPr>
                        <m:e>
                          <m:r>
                            <w:rPr>
                              <w:rFonts w:ascii="Cambria Math" w:hAnsi="Cambria Math"/>
                            </w:rPr>
                            <m:t>S</m:t>
                          </m:r>
                        </m:e>
                        <m:sub>
                          <m:r>
                            <w:rPr>
                              <w:rFonts w:ascii="Cambria Math" w:hAnsi="Cambria Math"/>
                            </w:rPr>
                            <m:t>VH</m:t>
                          </m:r>
                        </m:sub>
                      </m:sSub>
                    </m:den>
                  </m:f>
                </m:e>
              </m:d>
            </m:den>
          </m:f>
          <m:r>
            <m:rPr>
              <m:sty m:val="p"/>
            </m:rPr>
            <w:br/>
          </m:r>
        </m:oMath>
        <m:oMath>
          <m:r>
            <m:rPr>
              <m:aln/>
            </m:rPr>
            <w:rPr>
              <w:rFonts w:ascii="Cambria Math" w:hAnsi="Cambria Math"/>
            </w:rPr>
            <m:t>=</m:t>
          </m:r>
          <m:f>
            <m:fPr>
              <m:ctrlPr>
                <w:rPr>
                  <w:rFonts w:ascii="Cambria Math" w:hAnsi="Cambria Math"/>
                  <w:i/>
                </w:rPr>
              </m:ctrlPr>
            </m:fPr>
            <m:num>
              <m:r>
                <w:rPr>
                  <w:rFonts w:ascii="Cambria Math" w:hAnsi="Cambria Math"/>
                </w:rPr>
                <m:t>13</m:t>
              </m:r>
            </m:num>
            <m:den>
              <m:d>
                <m:dPr>
                  <m:ctrlPr>
                    <w:rPr>
                      <w:rFonts w:ascii="Cambria Math" w:hAnsi="Cambria Math"/>
                      <w:i/>
                    </w:rPr>
                  </m:ctrlPr>
                </m:dPr>
                <m:e>
                  <m:r>
                    <w:rPr>
                      <w:rFonts w:ascii="Cambria Math" w:hAnsi="Cambria Math"/>
                    </w:rPr>
                    <m:t>0.9-1</m:t>
                  </m:r>
                </m:e>
              </m:d>
              <m:r>
                <w:rPr>
                  <w:rFonts w:ascii="Cambria Math" w:hAnsi="Cambria Math"/>
                </w:rPr>
                <m:t>*ln</m:t>
              </m:r>
              <m:d>
                <m:dPr>
                  <m:ctrlPr>
                    <w:rPr>
                      <w:rFonts w:ascii="Cambria Math" w:hAnsi="Cambria Math"/>
                      <w:i/>
                    </w:rPr>
                  </m:ctrlPr>
                </m:dPr>
                <m:e>
                  <m:r>
                    <w:rPr>
                      <w:rFonts w:ascii="Cambria Math" w:hAnsi="Cambria Math"/>
                    </w:rPr>
                    <m:t xml:space="preserve">1- </m:t>
                  </m:r>
                  <m:f>
                    <m:fPr>
                      <m:type m:val="skw"/>
                      <m:ctrlPr>
                        <w:rPr>
                          <w:rFonts w:ascii="Cambria Math" w:hAnsi="Cambria Math"/>
                          <w:i/>
                        </w:rPr>
                      </m:ctrlPr>
                    </m:fPr>
                    <m:num>
                      <m:r>
                        <w:rPr>
                          <w:rFonts w:ascii="Cambria Math" w:hAnsi="Cambria Math"/>
                        </w:rPr>
                        <m:t>0.0781</m:t>
                      </m:r>
                    </m:num>
                    <m:den>
                      <m:r>
                        <w:rPr>
                          <w:rFonts w:ascii="Cambria Math" w:hAnsi="Cambria Math"/>
                        </w:rPr>
                        <m:t>0.9</m:t>
                      </m:r>
                    </m:den>
                  </m:f>
                </m:e>
              </m:d>
            </m:den>
          </m:f>
          <m:r>
            <m:rPr>
              <m:sty m:val="p"/>
            </m:rPr>
            <w:rPr>
              <w:rFonts w:eastAsiaTheme="minorEastAsia"/>
            </w:rPr>
            <w:br/>
          </m:r>
        </m:oMath>
        <m:oMath>
          <m:r>
            <m:rPr>
              <m:aln/>
            </m:rPr>
            <w:rPr>
              <w:rFonts w:ascii="Cambria Math" w:hAnsi="Cambria Math"/>
            </w:rPr>
            <m:t>=1434</m:t>
          </m:r>
        </m:oMath>
      </m:oMathPara>
    </w:p>
    <w:p w:rsidR="008B2D8A" w:rsidRDefault="008B2D8A" w:rsidP="008B2D8A">
      <w:pPr>
        <w:tabs>
          <w:tab w:val="left" w:pos="1846"/>
        </w:tabs>
        <w:rPr>
          <w:i/>
        </w:rPr>
      </w:pPr>
      <w:r w:rsidRPr="00D41682">
        <w:rPr>
          <w:i/>
        </w:rPr>
        <w:t>Criteria</w:t>
      </w:r>
      <w:r w:rsidRPr="00A62127">
        <w:rPr>
          <w:i/>
        </w:rPr>
        <w:t xml:space="preserve"> (i</w:t>
      </w:r>
      <w:r>
        <w:rPr>
          <w:i/>
        </w:rPr>
        <w:t>i</w:t>
      </w:r>
      <w:r w:rsidRPr="00A62127">
        <w:rPr>
          <w:i/>
        </w:rPr>
        <w:t>)</w:t>
      </w:r>
      <w:r>
        <w:rPr>
          <w:i/>
        </w:rPr>
        <w:t xml:space="preserve"> </w:t>
      </w:r>
    </w:p>
    <w:p w:rsidR="008B2D8A" w:rsidRDefault="008B2D8A" w:rsidP="008B2D8A">
      <w:r>
        <w:t xml:space="preserve">In order for the </w:t>
      </w:r>
      <w:r>
        <w:rPr>
          <w:rFonts w:eastAsiaTheme="minorEastAsia"/>
        </w:rPr>
        <w:t xml:space="preserve">difference between the </w:t>
      </w:r>
      <w:r>
        <w:t xml:space="preserve">apparent and adjusted </w:t>
      </w:r>
      <w:r w:rsidRPr="00F011FC">
        <w:t>R</w:t>
      </w:r>
      <w:r>
        <w:rPr>
          <w:vertAlign w:val="superscript"/>
        </w:rPr>
        <w:t>2</w:t>
      </w:r>
      <w:r>
        <w:rPr>
          <w:vertAlign w:val="subscript"/>
        </w:rPr>
        <w:t>Nagelkerke</w:t>
      </w:r>
      <w:r>
        <w:rPr>
          <w:vertAlign w:val="subscript"/>
        </w:rPr>
        <w:fldChar w:fldCharType="begin" w:fldLock="1"/>
      </w:r>
      <w:r w:rsidR="006063FE">
        <w:rPr>
          <w:vertAlign w:val="subscript"/>
        </w:rPr>
        <w:instrText>ADDIN CSL_CITATION { "citationItems" : [ { "id" : "ITEM-1", "itemData" : { "author" : [ { "dropping-particle" : "", "family" : "Nagelkerke", "given" : "N. J. D.", "non-dropping-particle" : "", "parse-names" : false, "suffix" : "" } ], "container-title" : "Biometrika", "id" : "ITEM-1", "issue" : "3", "issued" : { "date-parts" : [ [ "1991" ] ] }, "page" : "691-692", "title" : "A note on a general definition of the coefficient of determination", "type" : "article-journal", "volume" : "78" }, "uris" : [ "http://www.mendeley.com/documents/?uuid=666ba2d0-4840-4a33-9158-a413e6fa5be6", "http://www.mendeley.com/documents/?uuid=93d262e0-47ef-4d4a-94ab-652978361b58" ] } ], "mendeley" : { "formattedCitation" : "&lt;sup&gt;3&lt;/sup&gt;", "plainTextFormattedCitation" : "3", "previouslyFormattedCitation" : "(3)" }, "properties" : { "noteIndex" : 4 }, "schema" : "https://github.com/citation-style-language/schema/raw/master/csl-citation.json" }</w:instrText>
      </w:r>
      <w:r>
        <w:rPr>
          <w:vertAlign w:val="subscript"/>
        </w:rPr>
        <w:fldChar w:fldCharType="separate"/>
      </w:r>
      <w:r w:rsidR="006063FE" w:rsidRPr="006063FE">
        <w:rPr>
          <w:noProof/>
          <w:vertAlign w:val="superscript"/>
        </w:rPr>
        <w:t>3</w:t>
      </w:r>
      <w:r>
        <w:rPr>
          <w:vertAlign w:val="subscript"/>
        </w:rPr>
        <w:fldChar w:fldCharType="end"/>
      </w:r>
      <w:r>
        <w:rPr>
          <w:vertAlign w:val="subscript"/>
        </w:rPr>
        <w:t xml:space="preserve"> </w:t>
      </w:r>
      <w:r>
        <w:t>to be suitable, the following equation must be satisfied:</w:t>
      </w:r>
    </w:p>
    <w:p w:rsidR="008B2D8A" w:rsidRDefault="007C175B" w:rsidP="008B2D8A">
      <m:oMathPara>
        <m:oMath>
          <m:sSub>
            <m:sSubPr>
              <m:ctrlPr>
                <w:rPr>
                  <w:rFonts w:ascii="Cambria Math" w:hAnsi="Cambria Math"/>
                  <w:i/>
                </w:rPr>
              </m:ctrlPr>
            </m:sSubPr>
            <m:e>
              <m:r>
                <w:rPr>
                  <w:rFonts w:ascii="Cambria Math" w:hAnsi="Cambria Math"/>
                </w:rPr>
                <m:t>S</m:t>
              </m:r>
            </m:e>
            <m:sub>
              <m:r>
                <w:rPr>
                  <w:rFonts w:ascii="Cambria Math" w:hAnsi="Cambria Math"/>
                </w:rPr>
                <m:t>VH</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R</m:t>
                  </m:r>
                </m:e>
                <m:sub>
                  <m:r>
                    <w:rPr>
                      <w:rFonts w:ascii="Cambria Math" w:hAnsi="Cambria Math"/>
                    </w:rPr>
                    <m:t>CS_ADJ</m:t>
                  </m:r>
                </m:sub>
                <m:sup>
                  <m:r>
                    <w:rPr>
                      <w:rFonts w:ascii="Cambria Math" w:hAnsi="Cambria Math"/>
                    </w:rPr>
                    <m:t>2</m:t>
                  </m:r>
                </m:sup>
              </m:sSubSup>
            </m:num>
            <m:den>
              <m:sSubSup>
                <m:sSubSupPr>
                  <m:ctrlPr>
                    <w:rPr>
                      <w:rFonts w:ascii="Cambria Math" w:hAnsi="Cambria Math"/>
                      <w:i/>
                    </w:rPr>
                  </m:ctrlPr>
                </m:sSubSupPr>
                <m:e>
                  <m:r>
                    <w:rPr>
                      <w:rFonts w:ascii="Cambria Math" w:hAnsi="Cambria Math"/>
                    </w:rPr>
                    <m:t>R</m:t>
                  </m:r>
                </m:e>
                <m:sub>
                  <m:r>
                    <w:rPr>
                      <w:rFonts w:ascii="Cambria Math" w:hAnsi="Cambria Math"/>
                    </w:rPr>
                    <m:t>CS_ADJ</m:t>
                  </m:r>
                </m:sub>
                <m:sup>
                  <m:r>
                    <w:rPr>
                      <w:rFonts w:ascii="Cambria Math" w:hAnsi="Cambria Math"/>
                    </w:rPr>
                    <m:t>2</m:t>
                  </m:r>
                </m:sup>
              </m:sSubSup>
              <m:r>
                <w:rPr>
                  <w:rFonts w:ascii="Cambria Math" w:hAnsi="Cambria Math"/>
                </w:rPr>
                <m:t>+ δ*max</m:t>
              </m:r>
              <m:d>
                <m:dPr>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CS_APP</m:t>
                      </m:r>
                    </m:sub>
                    <m:sup>
                      <m:r>
                        <w:rPr>
                          <w:rFonts w:ascii="Cambria Math" w:hAnsi="Cambria Math"/>
                        </w:rPr>
                        <m:t>2</m:t>
                      </m:r>
                    </m:sup>
                  </m:sSubSup>
                </m:e>
              </m:d>
            </m:den>
          </m:f>
        </m:oMath>
      </m:oMathPara>
    </w:p>
    <w:p w:rsidR="008B2D8A" w:rsidRDefault="008B2D8A" w:rsidP="008B2D8A">
      <w:r>
        <w:t xml:space="preserve">Where </w:t>
      </w:r>
      <m:oMath>
        <m:sSub>
          <m:sSubPr>
            <m:ctrlPr>
              <w:rPr>
                <w:rFonts w:ascii="Cambria Math" w:hAnsi="Cambria Math"/>
                <w:i/>
              </w:rPr>
            </m:ctrlPr>
          </m:sSubPr>
          <m:e>
            <m:r>
              <w:rPr>
                <w:rFonts w:ascii="Cambria Math" w:hAnsi="Cambria Math"/>
              </w:rPr>
              <m:t>S</m:t>
            </m:r>
          </m:e>
          <m:sub>
            <m:r>
              <w:rPr>
                <w:rFonts w:ascii="Cambria Math" w:hAnsi="Cambria Math"/>
              </w:rPr>
              <m:t>VH</m:t>
            </m:r>
          </m:sub>
        </m:sSub>
        <m:r>
          <w:rPr>
            <w:rFonts w:ascii="Cambria Math" w:eastAsiaTheme="minorEastAsia" w:hAnsi="Cambria Math"/>
          </w:rPr>
          <m:t>=0.9</m:t>
        </m:r>
      </m:oMath>
      <w:r>
        <w:t xml:space="preserve"> is the desired shrinkage, </w:t>
      </w:r>
      <m:oMath>
        <m:r>
          <w:rPr>
            <w:rFonts w:ascii="Cambria Math" w:hAnsi="Cambria Math"/>
          </w:rPr>
          <m:t>δ</m:t>
        </m:r>
      </m:oMath>
      <w:r>
        <w:rPr>
          <w:rFonts w:eastAsiaTheme="minorEastAsia"/>
        </w:rPr>
        <w:t xml:space="preserve"> is the acceptable difference between the </w:t>
      </w:r>
      <w:r>
        <w:t xml:space="preserve">apparent and adjusted </w:t>
      </w:r>
      <w:r w:rsidRPr="00F011FC">
        <w:t>R</w:t>
      </w:r>
      <w:r>
        <w:rPr>
          <w:vertAlign w:val="superscript"/>
        </w:rPr>
        <w:t>2</w:t>
      </w:r>
      <w:r>
        <w:rPr>
          <w:vertAlign w:val="subscript"/>
        </w:rPr>
        <w:t>Nagelkerke</w:t>
      </w:r>
      <w:r>
        <w:t xml:space="preserve">, and </w:t>
      </w:r>
    </w:p>
    <w:p w:rsidR="008B2D8A" w:rsidRPr="00AB762E" w:rsidRDefault="008B2D8A" w:rsidP="008B2D8A">
      <m:oMathPara>
        <m:oMath>
          <m:r>
            <w:rPr>
              <w:rFonts w:ascii="Cambria Math" w:hAnsi="Cambria Math"/>
            </w:rPr>
            <m:t>max</m:t>
          </m:r>
          <m:d>
            <m:dPr>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CS_APP</m:t>
                  </m:r>
                </m:sub>
                <m:sup>
                  <m:r>
                    <w:rPr>
                      <w:rFonts w:ascii="Cambria Math" w:hAnsi="Cambria Math"/>
                    </w:rPr>
                    <m:t>2</m:t>
                  </m:r>
                </m:sup>
              </m:sSubSup>
            </m:e>
          </m:d>
          <m:r>
            <m:rPr>
              <m:aln/>
            </m:rPr>
            <w:rPr>
              <w:rFonts w:ascii="Cambria Math" w:hAnsi="Cambria Math"/>
            </w:rPr>
            <m:t>=1-exp</m:t>
          </m:r>
          <m:d>
            <m:dPr>
              <m:ctrlPr>
                <w:rPr>
                  <w:rFonts w:ascii="Cambria Math" w:hAnsi="Cambria Math"/>
                  <w:i/>
                </w:rPr>
              </m:ctrlPr>
            </m:dPr>
            <m:e>
              <m:f>
                <m:fPr>
                  <m:ctrlPr>
                    <w:rPr>
                      <w:rFonts w:ascii="Cambria Math" w:hAnsi="Cambria Math"/>
                      <w:i/>
                    </w:rPr>
                  </m:ctrlPr>
                </m:fPr>
                <m:num>
                  <m:r>
                    <w:rPr>
                      <w:rFonts w:ascii="Cambria Math" w:hAnsi="Cambria Math"/>
                    </w:rPr>
                    <m:t>2*</m:t>
                  </m:r>
                  <m:r>
                    <m:rPr>
                      <m:sty m:val="p"/>
                    </m:rPr>
                    <w:rPr>
                      <w:rFonts w:ascii="Cambria Math" w:hAnsi="Cambria Math"/>
                    </w:rPr>
                    <m:t>ln⁡</m:t>
                  </m:r>
                  <m:d>
                    <m:dPr>
                      <m:ctrlPr>
                        <w:rPr>
                          <w:rFonts w:ascii="Cambria Math" w:hAnsi="Cambria Math"/>
                          <w:i/>
                        </w:rPr>
                      </m:ctrlPr>
                    </m:dPr>
                    <m:e>
                      <m:sSub>
                        <m:sSubPr>
                          <m:ctrlPr>
                            <w:rPr>
                              <w:rFonts w:ascii="Cambria Math" w:hAnsi="Cambria Math"/>
                              <w:i/>
                            </w:rPr>
                          </m:ctrlPr>
                        </m:sSubPr>
                        <m:e>
                          <m:r>
                            <w:rPr>
                              <w:rFonts w:ascii="Cambria Math" w:hAnsi="Cambria Math"/>
                            </w:rPr>
                            <m:t>L</m:t>
                          </m:r>
                        </m:e>
                        <m:sub>
                          <m:r>
                            <w:rPr>
                              <w:rFonts w:ascii="Cambria Math" w:hAnsi="Cambria Math"/>
                            </w:rPr>
                            <m:t>null</m:t>
                          </m:r>
                        </m:sub>
                      </m:sSub>
                    </m:e>
                  </m:d>
                </m:num>
                <m:den>
                  <m:r>
                    <w:rPr>
                      <w:rFonts w:ascii="Cambria Math" w:hAnsi="Cambria Math"/>
                    </w:rPr>
                    <m:t>n</m:t>
                  </m:r>
                </m:den>
              </m:f>
            </m:e>
          </m:d>
          <m:r>
            <m:rPr>
              <m:sty m:val="p"/>
            </m:rPr>
            <w:rPr>
              <w:rFonts w:eastAsiaTheme="minorEastAsia"/>
            </w:rPr>
            <w:br/>
          </m:r>
        </m:oMath>
        <m:oMath>
          <m:r>
            <m:rPr>
              <m:aln/>
            </m:rPr>
            <w:rPr>
              <w:rFonts w:ascii="Cambria Math" w:hAnsi="Cambria Math"/>
            </w:rPr>
            <m:t>=0.6987</m:t>
          </m:r>
        </m:oMath>
      </m:oMathPara>
    </w:p>
    <w:p w:rsidR="008B2D8A" w:rsidRDefault="008B2D8A" w:rsidP="008B2D8A">
      <w:proofErr w:type="gramStart"/>
      <w:r>
        <w:rPr>
          <w:rFonts w:eastAsiaTheme="minorEastAsia"/>
        </w:rPr>
        <w:t>where</w:t>
      </w:r>
      <w:proofErr w:type="gramEnd"/>
      <w:r>
        <w:rPr>
          <w:rFonts w:eastAsiaTheme="minorEastAsia"/>
        </w:rPr>
        <w:t xml:space="preserve"> </w:t>
      </w:r>
      <m:oMath>
        <m:sSub>
          <m:sSubPr>
            <m:ctrlPr>
              <w:rPr>
                <w:rFonts w:ascii="Cambria Math" w:hAnsi="Cambria Math"/>
                <w:i/>
              </w:rPr>
            </m:ctrlPr>
          </m:sSubPr>
          <m:e>
            <m:r>
              <w:rPr>
                <w:rFonts w:ascii="Cambria Math" w:hAnsi="Cambria Math"/>
              </w:rPr>
              <m:t>L</m:t>
            </m:r>
          </m:e>
          <m:sub>
            <m:r>
              <w:rPr>
                <w:rFonts w:ascii="Cambria Math" w:hAnsi="Cambria Math"/>
              </w:rPr>
              <m:t>null</m:t>
            </m:r>
          </m:sub>
        </m:sSub>
      </m:oMath>
      <w:r>
        <w:rPr>
          <w:rFonts w:eastAsiaTheme="minorEastAsia"/>
        </w:rPr>
        <w:t xml:space="preserve"> is the  log likelihood of the null model with no covariates, and was calculated directly from the population derived model. </w:t>
      </w:r>
      <w:r>
        <w:t xml:space="preserve">The recommended </w:t>
      </w:r>
      <m:oMath>
        <m:r>
          <w:rPr>
            <w:rFonts w:ascii="Cambria Math" w:hAnsi="Cambria Math"/>
          </w:rPr>
          <m:t>δ</m:t>
        </m:r>
        <m:r>
          <w:rPr>
            <w:rFonts w:ascii="Cambria Math" w:eastAsiaTheme="minorEastAsia" w:hAnsi="Cambria Math"/>
          </w:rPr>
          <m:t xml:space="preserve">=0.05 </m:t>
        </m:r>
      </m:oMath>
      <w:r>
        <w:t>and therefore:</w:t>
      </w:r>
    </w:p>
    <w:p w:rsidR="008B2D8A" w:rsidRPr="00AB762E" w:rsidRDefault="007C175B" w:rsidP="008B2D8A">
      <w:pPr>
        <w:rPr>
          <w:rFonts w:eastAsiaTheme="minorEastAsia"/>
        </w:rPr>
      </w:pPr>
      <m:oMathPara>
        <m:oMath>
          <m:f>
            <m:fPr>
              <m:ctrlPr>
                <w:rPr>
                  <w:rFonts w:ascii="Cambria Math" w:hAnsi="Cambria Math"/>
                  <w:i/>
                </w:rPr>
              </m:ctrlPr>
            </m:fPr>
            <m:num>
              <m:sSubSup>
                <m:sSubSupPr>
                  <m:ctrlPr>
                    <w:rPr>
                      <w:rFonts w:ascii="Cambria Math" w:hAnsi="Cambria Math"/>
                      <w:i/>
                    </w:rPr>
                  </m:ctrlPr>
                </m:sSubSupPr>
                <m:e>
                  <m:r>
                    <w:rPr>
                      <w:rFonts w:ascii="Cambria Math" w:hAnsi="Cambria Math"/>
                    </w:rPr>
                    <m:t>R</m:t>
                  </m:r>
                </m:e>
                <m:sub>
                  <m:r>
                    <w:rPr>
                      <w:rFonts w:ascii="Cambria Math" w:hAnsi="Cambria Math"/>
                    </w:rPr>
                    <m:t>CS_ADJ</m:t>
                  </m:r>
                </m:sub>
                <m:sup>
                  <m:r>
                    <w:rPr>
                      <w:rFonts w:ascii="Cambria Math" w:hAnsi="Cambria Math"/>
                    </w:rPr>
                    <m:t>2</m:t>
                  </m:r>
                </m:sup>
              </m:sSubSup>
            </m:num>
            <m:den>
              <m:sSubSup>
                <m:sSubSupPr>
                  <m:ctrlPr>
                    <w:rPr>
                      <w:rFonts w:ascii="Cambria Math" w:hAnsi="Cambria Math"/>
                      <w:i/>
                    </w:rPr>
                  </m:ctrlPr>
                </m:sSubSupPr>
                <m:e>
                  <m:r>
                    <w:rPr>
                      <w:rFonts w:ascii="Cambria Math" w:hAnsi="Cambria Math"/>
                    </w:rPr>
                    <m:t>R</m:t>
                  </m:r>
                </m:e>
                <m:sub>
                  <m:r>
                    <w:rPr>
                      <w:rFonts w:ascii="Cambria Math" w:hAnsi="Cambria Math"/>
                    </w:rPr>
                    <m:t>CS_ADJ</m:t>
                  </m:r>
                </m:sub>
                <m:sup>
                  <m:r>
                    <w:rPr>
                      <w:rFonts w:ascii="Cambria Math" w:hAnsi="Cambria Math"/>
                    </w:rPr>
                    <m:t>2</m:t>
                  </m:r>
                </m:sup>
              </m:sSubSup>
              <m:r>
                <w:rPr>
                  <w:rFonts w:ascii="Cambria Math" w:hAnsi="Cambria Math"/>
                </w:rPr>
                <m:t>+ δ*max</m:t>
              </m:r>
              <m:d>
                <m:dPr>
                  <m:ctrlPr>
                    <w:rPr>
                      <w:rFonts w:ascii="Cambria Math" w:hAnsi="Cambria Math"/>
                      <w:i/>
                    </w:rPr>
                  </m:ctrlPr>
                </m:dPr>
                <m:e>
                  <m:sSubSup>
                    <m:sSubSupPr>
                      <m:ctrlPr>
                        <w:rPr>
                          <w:rFonts w:ascii="Cambria Math" w:hAnsi="Cambria Math"/>
                          <w:i/>
                        </w:rPr>
                      </m:ctrlPr>
                    </m:sSubSupPr>
                    <m:e>
                      <m:r>
                        <w:rPr>
                          <w:rFonts w:ascii="Cambria Math" w:hAnsi="Cambria Math"/>
                        </w:rPr>
                        <m:t>R</m:t>
                      </m:r>
                    </m:e>
                    <m:sub>
                      <m:r>
                        <w:rPr>
                          <w:rFonts w:ascii="Cambria Math" w:hAnsi="Cambria Math"/>
                        </w:rPr>
                        <m:t>CS_APP</m:t>
                      </m:r>
                    </m:sub>
                    <m:sup>
                      <m:r>
                        <w:rPr>
                          <w:rFonts w:ascii="Cambria Math" w:hAnsi="Cambria Math"/>
                        </w:rPr>
                        <m:t>2</m:t>
                      </m:r>
                    </m:sup>
                  </m:sSubSup>
                </m:e>
              </m:d>
            </m:den>
          </m:f>
          <m:r>
            <m:rPr>
              <m:aln/>
            </m:rPr>
            <w:rPr>
              <w:rFonts w:ascii="Cambria Math" w:hAnsi="Cambria Math"/>
            </w:rPr>
            <m:t>=</m:t>
          </m:r>
          <m:f>
            <m:fPr>
              <m:ctrlPr>
                <w:rPr>
                  <w:rFonts w:ascii="Cambria Math" w:hAnsi="Cambria Math"/>
                  <w:i/>
                </w:rPr>
              </m:ctrlPr>
            </m:fPr>
            <m:num>
              <m:r>
                <w:rPr>
                  <w:rFonts w:ascii="Cambria Math" w:hAnsi="Cambria Math"/>
                </w:rPr>
                <m:t>0.0780</m:t>
              </m:r>
            </m:num>
            <m:den>
              <m:r>
                <w:rPr>
                  <w:rFonts w:ascii="Cambria Math" w:hAnsi="Cambria Math"/>
                </w:rPr>
                <m:t>0.0780+ 0.05*0.6987</m:t>
              </m:r>
            </m:den>
          </m:f>
          <m:r>
            <w:rPr>
              <w:rFonts w:ascii="Cambria Math" w:hAnsi="Cambria Math"/>
            </w:rPr>
            <m:t xml:space="preserve"> </m:t>
          </m:r>
          <m:r>
            <m:rPr>
              <m:sty m:val="p"/>
            </m:rPr>
            <w:rPr>
              <w:rFonts w:eastAsiaTheme="minorEastAsia"/>
            </w:rPr>
            <w:br/>
          </m:r>
        </m:oMath>
        <m:oMath>
          <m:r>
            <m:rPr>
              <m:aln/>
            </m:rPr>
            <w:rPr>
              <w:rFonts w:ascii="Cambria Math" w:hAnsi="Cambria Math"/>
            </w:rPr>
            <m:t>=0.6906</m:t>
          </m:r>
          <m:r>
            <m:rPr>
              <m:sty m:val="p"/>
            </m:rPr>
            <w:rPr>
              <w:rFonts w:eastAsiaTheme="minorEastAsia"/>
            </w:rPr>
            <w:br/>
          </m:r>
        </m:oMath>
        <m:oMath>
          <m:r>
            <m:rPr>
              <m:aln/>
            </m:rPr>
            <w:rPr>
              <w:rFonts w:ascii="Cambria Math" w:hAnsi="Cambria Math"/>
            </w:rPr>
            <m:t>≤0.9</m:t>
          </m:r>
        </m:oMath>
      </m:oMathPara>
    </w:p>
    <w:p w:rsidR="008B2D8A" w:rsidRDefault="008B2D8A" w:rsidP="008B2D8A">
      <w:pPr>
        <w:rPr>
          <w:rFonts w:eastAsiaTheme="minorEastAsia"/>
        </w:rPr>
      </w:pPr>
      <w:proofErr w:type="gramStart"/>
      <w:r>
        <w:rPr>
          <w:rFonts w:eastAsiaTheme="minorEastAsia"/>
        </w:rPr>
        <w:t>and</w:t>
      </w:r>
      <w:proofErr w:type="gramEnd"/>
      <w:r>
        <w:rPr>
          <w:rFonts w:eastAsiaTheme="minorEastAsia"/>
        </w:rPr>
        <w:t xml:space="preserve"> the criteria is satisfied.</w:t>
      </w:r>
    </w:p>
    <w:p w:rsidR="008B2D8A" w:rsidRDefault="008B2D8A" w:rsidP="008B2D8A">
      <w:pPr>
        <w:rPr>
          <w:rFonts w:eastAsiaTheme="minorEastAsia"/>
        </w:rPr>
      </w:pPr>
      <w:r>
        <w:rPr>
          <w:rFonts w:eastAsiaTheme="minorEastAsia"/>
          <w:i/>
        </w:rPr>
        <w:t>Criteria (iii)</w:t>
      </w:r>
    </w:p>
    <w:p w:rsidR="008B2D8A" w:rsidRDefault="008B2D8A" w:rsidP="008B2D8A">
      <w:r>
        <w:t>This requires that the confidence interval around the cumulative incidence at t, time point of interest, to be smaller than 0.05. We will assume an exponential distribution which is the simplest approach to this.</w:t>
      </w:r>
    </w:p>
    <w:p w:rsidR="008B2D8A" w:rsidRDefault="008B2D8A" w:rsidP="008B2D8A">
      <w:r>
        <w:lastRenderedPageBreak/>
        <w:t xml:space="preserve">Let T = total follow up time in years if </w:t>
      </w:r>
      <w:proofErr w:type="spellStart"/>
      <w:r>
        <w:t>N</w:t>
      </w:r>
      <w:r>
        <w:rPr>
          <w:vertAlign w:val="subscript"/>
        </w:rPr>
        <w:t>min</w:t>
      </w:r>
      <w:proofErr w:type="spellEnd"/>
      <w:r>
        <w:t xml:space="preserve"> is the sample size (average follow up multiplied by sample size), </w:t>
      </w:r>
      <m:oMath>
        <m:acc>
          <m:accPr>
            <m:ctrlPr>
              <w:rPr>
                <w:rFonts w:ascii="Cambria Math" w:hAnsi="Cambria Math"/>
                <w:i/>
              </w:rPr>
            </m:ctrlPr>
          </m:accPr>
          <m:e>
            <m:r>
              <w:rPr>
                <w:rFonts w:ascii="Cambria Math" w:hAnsi="Cambria Math"/>
              </w:rPr>
              <m:t>λ</m:t>
            </m:r>
          </m:e>
        </m:acc>
      </m:oMath>
      <w:r>
        <w:rPr>
          <w:rFonts w:eastAsiaTheme="minorEastAsia"/>
        </w:rPr>
        <w:t xml:space="preserve"> be the estimated number of events per person year, and </w:t>
      </w:r>
      <w:r>
        <w:t>t = 10 years is the point of interest (time at which we are making risk predictions). Then the confidence interval is then calculated as:</w:t>
      </w:r>
    </w:p>
    <w:p w:rsidR="008B2D8A" w:rsidRDefault="008B2D8A" w:rsidP="008B2D8A">
      <w:pPr>
        <w:jc w:val="center"/>
        <w:rPr>
          <w:rFonts w:eastAsiaTheme="minorEastAsia"/>
        </w:rPr>
      </w:pPr>
      <m:oMathPara>
        <m:oMath>
          <m:r>
            <w:rPr>
              <w:rFonts w:ascii="Cambria Math" w:hAnsi="Cambria Math"/>
            </w:rPr>
            <m:t xml:space="preserve">CI </m:t>
          </m:r>
          <m:r>
            <m:rPr>
              <m:aln/>
            </m:rPr>
            <w:rPr>
              <w:rFonts w:ascii="Cambria Math" w:hAnsi="Cambria Math"/>
            </w:rPr>
            <m:t>=1-exp</m:t>
          </m:r>
          <m:d>
            <m:dPr>
              <m:ctrlPr>
                <w:rPr>
                  <w:rFonts w:ascii="Cambria Math" w:hAnsi="Cambria Math"/>
                  <w:i/>
                </w:rPr>
              </m:ctrlPr>
            </m:dPr>
            <m:e>
              <m:r>
                <w:rPr>
                  <w:rFonts w:ascii="Cambria Math" w:hAnsi="Cambria Math"/>
                </w:rPr>
                <m:t>-</m:t>
              </m:r>
              <m:d>
                <m:dPr>
                  <m:ctrlPr>
                    <w:rPr>
                      <w:rFonts w:ascii="Cambria Math" w:hAnsi="Cambria Math"/>
                      <w:i/>
                    </w:rPr>
                  </m:ctrlPr>
                </m:dPr>
                <m:e>
                  <m:acc>
                    <m:accPr>
                      <m:ctrlPr>
                        <w:rPr>
                          <w:rFonts w:ascii="Cambria Math" w:hAnsi="Cambria Math"/>
                          <w:i/>
                        </w:rPr>
                      </m:ctrlPr>
                    </m:accPr>
                    <m:e>
                      <m:r>
                        <w:rPr>
                          <w:rFonts w:ascii="Cambria Math" w:hAnsi="Cambria Math"/>
                        </w:rPr>
                        <m:t>λ</m:t>
                      </m:r>
                    </m:e>
                  </m:acc>
                  <m:r>
                    <w:rPr>
                      <w:rFonts w:ascii="Cambria Math" w:hAnsi="Cambria Math"/>
                    </w:rPr>
                    <m:t>±1.96*</m:t>
                  </m:r>
                  <m:rad>
                    <m:radPr>
                      <m:degHide m:val="1"/>
                      <m:ctrlPr>
                        <w:rPr>
                          <w:rFonts w:ascii="Cambria Math" w:hAnsi="Cambria Math"/>
                          <w:i/>
                        </w:rPr>
                      </m:ctrlPr>
                    </m:radPr>
                    <m:deg/>
                    <m:e>
                      <m:f>
                        <m:fPr>
                          <m:ctrlPr>
                            <w:rPr>
                              <w:rFonts w:ascii="Cambria Math" w:hAnsi="Cambria Math"/>
                              <w:i/>
                            </w:rPr>
                          </m:ctrlPr>
                        </m:fPr>
                        <m:num>
                          <m:acc>
                            <m:accPr>
                              <m:ctrlPr>
                                <w:rPr>
                                  <w:rFonts w:ascii="Cambria Math" w:hAnsi="Cambria Math"/>
                                  <w:i/>
                                </w:rPr>
                              </m:ctrlPr>
                            </m:accPr>
                            <m:e>
                              <m:r>
                                <w:rPr>
                                  <w:rFonts w:ascii="Cambria Math" w:hAnsi="Cambria Math"/>
                                </w:rPr>
                                <m:t>λ</m:t>
                              </m:r>
                            </m:e>
                          </m:acc>
                        </m:num>
                        <m:den>
                          <m:r>
                            <w:rPr>
                              <w:rFonts w:ascii="Cambria Math" w:hAnsi="Cambria Math"/>
                            </w:rPr>
                            <m:t>T</m:t>
                          </m:r>
                        </m:den>
                      </m:f>
                    </m:e>
                  </m:rad>
                </m:e>
              </m:d>
              <m:r>
                <w:rPr>
                  <w:rFonts w:ascii="Cambria Math" w:hAnsi="Cambria Math"/>
                </w:rPr>
                <m:t>*t</m:t>
              </m:r>
            </m:e>
          </m:d>
          <m:r>
            <m:rPr>
              <m:sty m:val="p"/>
            </m:rPr>
            <w:rPr>
              <w:rFonts w:eastAsiaTheme="minorEastAsia"/>
            </w:rPr>
            <w:br/>
          </m:r>
        </m:oMath>
        <m:oMath>
          <m:r>
            <m:rPr>
              <m:aln/>
            </m:rPr>
            <w:rPr>
              <w:rFonts w:ascii="Cambria Math" w:eastAsiaTheme="minorEastAsia" w:hAnsi="Cambria Math"/>
            </w:rPr>
            <m:t>=</m:t>
          </m:r>
          <m:r>
            <w:rPr>
              <w:rFonts w:ascii="Cambria Math" w:hAnsi="Cambria Math"/>
            </w:rPr>
            <m:t>1-exp</m:t>
          </m:r>
          <m:d>
            <m:dPr>
              <m:ctrlPr>
                <w:rPr>
                  <w:rFonts w:ascii="Cambria Math" w:hAnsi="Cambria Math"/>
                  <w:i/>
                </w:rPr>
              </m:ctrlPr>
            </m:dPr>
            <m:e>
              <m:r>
                <w:rPr>
                  <w:rFonts w:ascii="Cambria Math" w:hAnsi="Cambria Math"/>
                </w:rPr>
                <m:t>-</m:t>
              </m:r>
              <m:d>
                <m:dPr>
                  <m:ctrlPr>
                    <w:rPr>
                      <w:rFonts w:ascii="Cambria Math" w:hAnsi="Cambria Math"/>
                      <w:i/>
                    </w:rPr>
                  </m:ctrlPr>
                </m:dPr>
                <m:e>
                  <m:r>
                    <w:rPr>
                      <w:rFonts w:ascii="Cambria Math" w:hAnsi="Cambria Math"/>
                    </w:rPr>
                    <m:t>0.0063±1.96*</m:t>
                  </m:r>
                  <m:rad>
                    <m:radPr>
                      <m:degHide m:val="1"/>
                      <m:ctrlPr>
                        <w:rPr>
                          <w:rFonts w:ascii="Cambria Math" w:hAnsi="Cambria Math"/>
                          <w:i/>
                        </w:rPr>
                      </m:ctrlPr>
                    </m:radPr>
                    <m:deg/>
                    <m:e>
                      <m:f>
                        <m:fPr>
                          <m:ctrlPr>
                            <w:rPr>
                              <w:rFonts w:ascii="Cambria Math" w:hAnsi="Cambria Math"/>
                              <w:i/>
                            </w:rPr>
                          </m:ctrlPr>
                        </m:fPr>
                        <m:num>
                          <m:r>
                            <w:rPr>
                              <w:rFonts w:ascii="Cambria Math" w:hAnsi="Cambria Math"/>
                            </w:rPr>
                            <m:t>0.0063</m:t>
                          </m:r>
                        </m:num>
                        <m:den>
                          <m:r>
                            <w:rPr>
                              <w:rFonts w:ascii="Cambria Math" w:hAnsi="Cambria Math"/>
                            </w:rPr>
                            <m:t>7.0230*1434</m:t>
                          </m:r>
                        </m:den>
                      </m:f>
                    </m:e>
                  </m:rad>
                </m:e>
              </m:d>
              <m:r>
                <w:rPr>
                  <w:rFonts w:ascii="Cambria Math" w:hAnsi="Cambria Math"/>
                </w:rPr>
                <m:t>*10</m:t>
              </m:r>
            </m:e>
          </m:d>
          <m:r>
            <m:rPr>
              <m:sty m:val="p"/>
            </m:rPr>
            <w:rPr>
              <w:rFonts w:eastAsiaTheme="minorEastAsia"/>
            </w:rPr>
            <w:br/>
          </m:r>
        </m:oMath>
        <m:oMath>
          <m:r>
            <m:rPr>
              <m:aln/>
            </m:rP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0.0290, 0.0751</m:t>
              </m:r>
            </m:e>
          </m:d>
        </m:oMath>
      </m:oMathPara>
    </w:p>
    <w:p w:rsidR="008B2D8A" w:rsidRDefault="008B2D8A" w:rsidP="008B2D8A">
      <w:pPr>
        <w:rPr>
          <w:rFonts w:eastAsiaTheme="minorEastAsia"/>
        </w:rPr>
      </w:pPr>
      <w:r>
        <w:rPr>
          <w:rFonts w:eastAsiaTheme="minorEastAsia"/>
        </w:rPr>
        <w:t xml:space="preserve">The size of the confidence interval </w:t>
      </w:r>
      <w:proofErr w:type="gramStart"/>
      <w:r>
        <w:rPr>
          <w:rFonts w:eastAsiaTheme="minorEastAsia"/>
        </w:rPr>
        <w:t xml:space="preserve">is </w:t>
      </w:r>
      <w:proofErr w:type="gramEnd"/>
      <m:oMath>
        <m:r>
          <w:rPr>
            <w:rFonts w:ascii="Cambria Math" w:eastAsiaTheme="minorEastAsia" w:hAnsi="Cambria Math"/>
          </w:rPr>
          <m:t>0.0290&lt;0.05</m:t>
        </m:r>
      </m:oMath>
      <w:r>
        <w:rPr>
          <w:rFonts w:eastAsiaTheme="minorEastAsia"/>
        </w:rPr>
        <w:t>.</w:t>
      </w:r>
    </w:p>
    <w:p w:rsidR="00C70B05" w:rsidRDefault="008B2D8A" w:rsidP="008B2D8A">
      <w:pPr>
        <w:rPr>
          <w:rFonts w:eastAsiaTheme="minorEastAsia"/>
        </w:rPr>
      </w:pPr>
      <w:r>
        <w:rPr>
          <w:rFonts w:eastAsiaTheme="minorEastAsia"/>
        </w:rPr>
        <w:t xml:space="preserve">Therefore the value of </w:t>
      </w:r>
      <w:proofErr w:type="spellStart"/>
      <w:r>
        <w:rPr>
          <w:rFonts w:eastAsiaTheme="minorEastAsia"/>
        </w:rPr>
        <w:t>N</w:t>
      </w:r>
      <w:r>
        <w:rPr>
          <w:rFonts w:eastAsiaTheme="minorEastAsia"/>
          <w:vertAlign w:val="subscript"/>
        </w:rPr>
        <w:t>min</w:t>
      </w:r>
      <w:proofErr w:type="spellEnd"/>
      <w:r>
        <w:rPr>
          <w:rFonts w:eastAsiaTheme="minorEastAsia"/>
        </w:rPr>
        <w:t xml:space="preserve"> = 1434 satisfies all the criteria and is included as a sample size in our main analysis. </w:t>
      </w:r>
    </w:p>
    <w:p w:rsidR="008B2D8A" w:rsidRDefault="00C70B05" w:rsidP="008B2D8A">
      <w:pPr>
        <w:rPr>
          <w:rFonts w:eastAsiaTheme="minorEastAsia"/>
        </w:rPr>
      </w:pPr>
      <w:r>
        <w:rPr>
          <w:rFonts w:eastAsiaTheme="minorEastAsia"/>
        </w:rPr>
        <w:t>The exact same process was followed f</w:t>
      </w:r>
      <w:r w:rsidR="008B2D8A">
        <w:rPr>
          <w:rFonts w:eastAsiaTheme="minorEastAsia"/>
        </w:rPr>
        <w:t>or the male cohort</w:t>
      </w:r>
      <w:r>
        <w:rPr>
          <w:rFonts w:eastAsiaTheme="minorEastAsia"/>
        </w:rPr>
        <w:t>, and the value of</w:t>
      </w:r>
      <w:r w:rsidR="008B2D8A">
        <w:rPr>
          <w:rFonts w:eastAsiaTheme="minorEastAsia"/>
        </w:rPr>
        <w:t xml:space="preserve"> </w:t>
      </w:r>
      <w:proofErr w:type="spellStart"/>
      <w:r w:rsidR="008B2D8A">
        <w:rPr>
          <w:rFonts w:eastAsiaTheme="minorEastAsia"/>
        </w:rPr>
        <w:t>N</w:t>
      </w:r>
      <w:r w:rsidR="008B2D8A">
        <w:rPr>
          <w:rFonts w:eastAsiaTheme="minorEastAsia"/>
          <w:vertAlign w:val="subscript"/>
        </w:rPr>
        <w:t>min</w:t>
      </w:r>
      <w:proofErr w:type="spellEnd"/>
      <w:r>
        <w:rPr>
          <w:rFonts w:eastAsiaTheme="minorEastAsia"/>
        </w:rPr>
        <w:t xml:space="preserve"> = 1405 was found to satisfy</w:t>
      </w:r>
      <w:r w:rsidR="008B2D8A">
        <w:rPr>
          <w:rFonts w:eastAsiaTheme="minorEastAsia"/>
        </w:rPr>
        <w:t xml:space="preserve"> all the criteria.</w:t>
      </w:r>
    </w:p>
    <w:p w:rsidR="006063FE" w:rsidRPr="006063FE" w:rsidRDefault="006063FE" w:rsidP="008B2D8A">
      <w:pPr>
        <w:rPr>
          <w:rFonts w:eastAsiaTheme="minorEastAsia"/>
          <w:b/>
        </w:rPr>
      </w:pPr>
      <w:r w:rsidRPr="006063FE">
        <w:rPr>
          <w:rFonts w:eastAsiaTheme="minorEastAsia"/>
          <w:b/>
        </w:rPr>
        <w:t>References</w:t>
      </w:r>
    </w:p>
    <w:p w:rsidR="006063FE" w:rsidRPr="006063FE" w:rsidRDefault="006063FE" w:rsidP="006063FE">
      <w:pPr>
        <w:widowControl w:val="0"/>
        <w:autoSpaceDE w:val="0"/>
        <w:autoSpaceDN w:val="0"/>
        <w:adjustRightInd w:val="0"/>
        <w:spacing w:line="240" w:lineRule="auto"/>
        <w:ind w:left="640" w:hanging="640"/>
        <w:rPr>
          <w:rFonts w:ascii="Calibri" w:hAnsi="Calibri" w:cs="Calibri"/>
          <w:noProof/>
          <w:szCs w:val="24"/>
        </w:rPr>
      </w:pPr>
      <w:r>
        <w:rPr>
          <w:rFonts w:eastAsiaTheme="minorEastAsia"/>
        </w:rPr>
        <w:fldChar w:fldCharType="begin" w:fldLock="1"/>
      </w:r>
      <w:r>
        <w:rPr>
          <w:rFonts w:eastAsiaTheme="minorEastAsia"/>
        </w:rPr>
        <w:instrText xml:space="preserve">ADDIN Mendeley Bibliography CSL_BIBLIOGRAPHY </w:instrText>
      </w:r>
      <w:r>
        <w:rPr>
          <w:rFonts w:eastAsiaTheme="minorEastAsia"/>
        </w:rPr>
        <w:fldChar w:fldCharType="separate"/>
      </w:r>
      <w:r w:rsidRPr="006063FE">
        <w:rPr>
          <w:rFonts w:ascii="Calibri" w:hAnsi="Calibri" w:cs="Calibri"/>
          <w:noProof/>
          <w:szCs w:val="24"/>
        </w:rPr>
        <w:t xml:space="preserve">1. </w:t>
      </w:r>
      <w:r w:rsidRPr="006063FE">
        <w:rPr>
          <w:rFonts w:ascii="Calibri" w:hAnsi="Calibri" w:cs="Calibri"/>
          <w:noProof/>
          <w:szCs w:val="24"/>
        </w:rPr>
        <w:tab/>
        <w:t xml:space="preserve">Riley RD, Snell KIE, Ensor J, et al. Minimum sample size for developing a multivariable prediction model: PART II - binary and time-to-event outcomes. </w:t>
      </w:r>
      <w:r w:rsidRPr="006063FE">
        <w:rPr>
          <w:rFonts w:ascii="Calibri" w:hAnsi="Calibri" w:cs="Calibri"/>
          <w:i/>
          <w:iCs/>
          <w:noProof/>
          <w:szCs w:val="24"/>
        </w:rPr>
        <w:t>Stat Med</w:t>
      </w:r>
      <w:r w:rsidRPr="006063FE">
        <w:rPr>
          <w:rFonts w:ascii="Calibri" w:hAnsi="Calibri" w:cs="Calibri"/>
          <w:noProof/>
          <w:szCs w:val="24"/>
        </w:rPr>
        <w:t xml:space="preserve"> 2019; 38: 1276–1296.</w:t>
      </w:r>
    </w:p>
    <w:p w:rsidR="006063FE" w:rsidRPr="006063FE" w:rsidRDefault="006063FE" w:rsidP="006063FE">
      <w:pPr>
        <w:widowControl w:val="0"/>
        <w:autoSpaceDE w:val="0"/>
        <w:autoSpaceDN w:val="0"/>
        <w:adjustRightInd w:val="0"/>
        <w:spacing w:line="240" w:lineRule="auto"/>
        <w:ind w:left="640" w:hanging="640"/>
        <w:rPr>
          <w:rFonts w:ascii="Calibri" w:hAnsi="Calibri" w:cs="Calibri"/>
          <w:noProof/>
          <w:szCs w:val="24"/>
        </w:rPr>
      </w:pPr>
      <w:r w:rsidRPr="006063FE">
        <w:rPr>
          <w:rFonts w:ascii="Calibri" w:hAnsi="Calibri" w:cs="Calibri"/>
          <w:noProof/>
          <w:szCs w:val="24"/>
        </w:rPr>
        <w:t xml:space="preserve">2. </w:t>
      </w:r>
      <w:r w:rsidRPr="006063FE">
        <w:rPr>
          <w:rFonts w:ascii="Calibri" w:hAnsi="Calibri" w:cs="Calibri"/>
          <w:noProof/>
          <w:szCs w:val="24"/>
        </w:rPr>
        <w:tab/>
        <w:t xml:space="preserve">Van Houwelingen J, Le Cessie S. Predictive value of statistical models. </w:t>
      </w:r>
      <w:r w:rsidRPr="006063FE">
        <w:rPr>
          <w:rFonts w:ascii="Calibri" w:hAnsi="Calibri" w:cs="Calibri"/>
          <w:i/>
          <w:iCs/>
          <w:noProof/>
          <w:szCs w:val="24"/>
        </w:rPr>
        <w:t>Stat Med</w:t>
      </w:r>
      <w:r w:rsidRPr="006063FE">
        <w:rPr>
          <w:rFonts w:ascii="Calibri" w:hAnsi="Calibri" w:cs="Calibri"/>
          <w:noProof/>
          <w:szCs w:val="24"/>
        </w:rPr>
        <w:t xml:space="preserve"> 1990; 9: 1303–1325.</w:t>
      </w:r>
    </w:p>
    <w:p w:rsidR="006063FE" w:rsidRPr="006063FE" w:rsidRDefault="006063FE" w:rsidP="006063FE">
      <w:pPr>
        <w:widowControl w:val="0"/>
        <w:autoSpaceDE w:val="0"/>
        <w:autoSpaceDN w:val="0"/>
        <w:adjustRightInd w:val="0"/>
        <w:spacing w:line="240" w:lineRule="auto"/>
        <w:ind w:left="640" w:hanging="640"/>
        <w:rPr>
          <w:rFonts w:ascii="Calibri" w:hAnsi="Calibri" w:cs="Calibri"/>
          <w:noProof/>
          <w:szCs w:val="24"/>
        </w:rPr>
      </w:pPr>
      <w:r w:rsidRPr="006063FE">
        <w:rPr>
          <w:rFonts w:ascii="Calibri" w:hAnsi="Calibri" w:cs="Calibri"/>
          <w:noProof/>
          <w:szCs w:val="24"/>
        </w:rPr>
        <w:t xml:space="preserve">3. </w:t>
      </w:r>
      <w:r w:rsidRPr="006063FE">
        <w:rPr>
          <w:rFonts w:ascii="Calibri" w:hAnsi="Calibri" w:cs="Calibri"/>
          <w:noProof/>
          <w:szCs w:val="24"/>
        </w:rPr>
        <w:tab/>
        <w:t xml:space="preserve">Nagelkerke NJD. A note on a general definition of the coefficient of determination. </w:t>
      </w:r>
      <w:r w:rsidRPr="006063FE">
        <w:rPr>
          <w:rFonts w:ascii="Calibri" w:hAnsi="Calibri" w:cs="Calibri"/>
          <w:i/>
          <w:iCs/>
          <w:noProof/>
          <w:szCs w:val="24"/>
        </w:rPr>
        <w:t>Biometrika</w:t>
      </w:r>
      <w:r w:rsidRPr="006063FE">
        <w:rPr>
          <w:rFonts w:ascii="Calibri" w:hAnsi="Calibri" w:cs="Calibri"/>
          <w:noProof/>
          <w:szCs w:val="24"/>
        </w:rPr>
        <w:t xml:space="preserve"> 1991; 78: 691–692.</w:t>
      </w:r>
    </w:p>
    <w:p w:rsidR="006063FE" w:rsidRPr="006063FE" w:rsidRDefault="006063FE" w:rsidP="006063FE">
      <w:pPr>
        <w:widowControl w:val="0"/>
        <w:autoSpaceDE w:val="0"/>
        <w:autoSpaceDN w:val="0"/>
        <w:adjustRightInd w:val="0"/>
        <w:spacing w:line="240" w:lineRule="auto"/>
        <w:ind w:left="640" w:hanging="640"/>
        <w:rPr>
          <w:rFonts w:ascii="Calibri" w:hAnsi="Calibri" w:cs="Calibri"/>
          <w:noProof/>
          <w:szCs w:val="24"/>
        </w:rPr>
      </w:pPr>
      <w:r w:rsidRPr="006063FE">
        <w:rPr>
          <w:rFonts w:ascii="Calibri" w:hAnsi="Calibri" w:cs="Calibri"/>
          <w:noProof/>
          <w:szCs w:val="24"/>
        </w:rPr>
        <w:t xml:space="preserve">4. </w:t>
      </w:r>
      <w:r w:rsidRPr="006063FE">
        <w:rPr>
          <w:rFonts w:ascii="Calibri" w:hAnsi="Calibri" w:cs="Calibri"/>
          <w:noProof/>
          <w:szCs w:val="24"/>
        </w:rPr>
        <w:tab/>
        <w:t xml:space="preserve">Mittlboeck M, Heinzl H. Pseudo R-squared measures of generalized linear models. In: </w:t>
      </w:r>
      <w:r w:rsidRPr="006063FE">
        <w:rPr>
          <w:rFonts w:ascii="Calibri" w:hAnsi="Calibri" w:cs="Calibri"/>
          <w:i/>
          <w:iCs/>
          <w:noProof/>
          <w:szCs w:val="24"/>
        </w:rPr>
        <w:t>Proceedings of the 1st European Workshop on the Assessment of Diagnostic Performance</w:t>
      </w:r>
      <w:r w:rsidRPr="006063FE">
        <w:rPr>
          <w:rFonts w:ascii="Calibri" w:hAnsi="Calibri" w:cs="Calibri"/>
          <w:noProof/>
          <w:szCs w:val="24"/>
        </w:rPr>
        <w:t>. Milan, Italy, 2004.</w:t>
      </w:r>
    </w:p>
    <w:p w:rsidR="006063FE" w:rsidRPr="006063FE" w:rsidRDefault="006063FE" w:rsidP="006063FE">
      <w:pPr>
        <w:widowControl w:val="0"/>
        <w:autoSpaceDE w:val="0"/>
        <w:autoSpaceDN w:val="0"/>
        <w:adjustRightInd w:val="0"/>
        <w:spacing w:line="240" w:lineRule="auto"/>
        <w:ind w:left="640" w:hanging="640"/>
        <w:rPr>
          <w:rFonts w:ascii="Calibri" w:hAnsi="Calibri" w:cs="Calibri"/>
          <w:noProof/>
          <w:szCs w:val="24"/>
        </w:rPr>
      </w:pPr>
      <w:r w:rsidRPr="006063FE">
        <w:rPr>
          <w:rFonts w:ascii="Calibri" w:hAnsi="Calibri" w:cs="Calibri"/>
          <w:noProof/>
          <w:szCs w:val="24"/>
        </w:rPr>
        <w:t xml:space="preserve">5. </w:t>
      </w:r>
      <w:r w:rsidRPr="006063FE">
        <w:rPr>
          <w:rFonts w:ascii="Calibri" w:hAnsi="Calibri" w:cs="Calibri"/>
          <w:noProof/>
          <w:szCs w:val="24"/>
        </w:rPr>
        <w:tab/>
        <w:t xml:space="preserve">Cox DR, Snell EJ. </w:t>
      </w:r>
      <w:r w:rsidRPr="006063FE">
        <w:rPr>
          <w:rFonts w:ascii="Calibri" w:hAnsi="Calibri" w:cs="Calibri"/>
          <w:i/>
          <w:iCs/>
          <w:noProof/>
          <w:szCs w:val="24"/>
        </w:rPr>
        <w:t>Analysis of Binary Data</w:t>
      </w:r>
      <w:r w:rsidRPr="006063FE">
        <w:rPr>
          <w:rFonts w:ascii="Calibri" w:hAnsi="Calibri" w:cs="Calibri"/>
          <w:noProof/>
          <w:szCs w:val="24"/>
        </w:rPr>
        <w:t>. 2 edition. Chapman and Hall/CRC, 1989.</w:t>
      </w:r>
    </w:p>
    <w:p w:rsidR="006063FE" w:rsidRPr="006063FE" w:rsidRDefault="006063FE" w:rsidP="006063FE">
      <w:pPr>
        <w:widowControl w:val="0"/>
        <w:autoSpaceDE w:val="0"/>
        <w:autoSpaceDN w:val="0"/>
        <w:adjustRightInd w:val="0"/>
        <w:spacing w:line="240" w:lineRule="auto"/>
        <w:ind w:left="640" w:hanging="640"/>
        <w:rPr>
          <w:rFonts w:ascii="Calibri" w:hAnsi="Calibri" w:cs="Calibri"/>
          <w:noProof/>
        </w:rPr>
      </w:pPr>
      <w:r w:rsidRPr="006063FE">
        <w:rPr>
          <w:rFonts w:ascii="Calibri" w:hAnsi="Calibri" w:cs="Calibri"/>
          <w:noProof/>
          <w:szCs w:val="24"/>
        </w:rPr>
        <w:t xml:space="preserve">6. </w:t>
      </w:r>
      <w:r w:rsidRPr="006063FE">
        <w:rPr>
          <w:rFonts w:ascii="Calibri" w:hAnsi="Calibri" w:cs="Calibri"/>
          <w:noProof/>
          <w:szCs w:val="24"/>
        </w:rPr>
        <w:tab/>
        <w:t xml:space="preserve">Magee L. R2 measures based on wald and likelihood ratio joint significance tests. </w:t>
      </w:r>
      <w:r w:rsidRPr="006063FE">
        <w:rPr>
          <w:rFonts w:ascii="Calibri" w:hAnsi="Calibri" w:cs="Calibri"/>
          <w:i/>
          <w:iCs/>
          <w:noProof/>
          <w:szCs w:val="24"/>
        </w:rPr>
        <w:t>Am Stat</w:t>
      </w:r>
      <w:r w:rsidRPr="006063FE">
        <w:rPr>
          <w:rFonts w:ascii="Calibri" w:hAnsi="Calibri" w:cs="Calibri"/>
          <w:noProof/>
          <w:szCs w:val="24"/>
        </w:rPr>
        <w:t xml:space="preserve"> 1990; 44: 250–253.</w:t>
      </w:r>
    </w:p>
    <w:p w:rsidR="00C70B05" w:rsidRPr="00EF7F80" w:rsidRDefault="006063FE" w:rsidP="008B2D8A">
      <w:pPr>
        <w:rPr>
          <w:rFonts w:eastAsiaTheme="minorEastAsia"/>
        </w:rPr>
      </w:pPr>
      <w:r>
        <w:rPr>
          <w:rFonts w:eastAsiaTheme="minorEastAsia"/>
        </w:rPr>
        <w:fldChar w:fldCharType="end"/>
      </w:r>
    </w:p>
    <w:p w:rsidR="00560334" w:rsidRDefault="007C175B"/>
    <w:sectPr w:rsidR="005603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D8A"/>
    <w:rsid w:val="006063FE"/>
    <w:rsid w:val="00621029"/>
    <w:rsid w:val="00716641"/>
    <w:rsid w:val="007C175B"/>
    <w:rsid w:val="008B2D8A"/>
    <w:rsid w:val="008D1D06"/>
    <w:rsid w:val="00C5503B"/>
    <w:rsid w:val="00C70B05"/>
    <w:rsid w:val="00CD32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D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2D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2D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D8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2D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2D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ADE32F-0D7C-41E9-989D-C90F53338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3065</Words>
  <Characters>17476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Pate</dc:creator>
  <cp:lastModifiedBy>Alexander Pate</cp:lastModifiedBy>
  <cp:revision>2</cp:revision>
  <cp:lastPrinted>2020-02-21T17:53:00Z</cp:lastPrinted>
  <dcterms:created xsi:type="dcterms:W3CDTF">2020-02-21T17:54:00Z</dcterms:created>
  <dcterms:modified xsi:type="dcterms:W3CDTF">2020-02-21T17:54:00Z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http://www.zotero.org/styles/sage-vancouver</vt:lpwstr>
  </property>
  <property fmtid="{D5CDD505-2E9C-101B-9397-08002B2CF9AE}" pid="19" name="Mendeley Recent Style Name 8_1">
    <vt:lpwstr>SAGE - Vancouver</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da568b34-9ed8-3c56-b045-1f180c810098</vt:lpwstr>
  </property>
  <property fmtid="{D5CDD505-2E9C-101B-9397-08002B2CF9AE}" pid="24" name="Mendeley Citation Style_1">
    <vt:lpwstr>http://www.zotero.org/styles/sage-vancouver</vt:lpwstr>
  </property>
</Properties>
</file>